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80"/>
        <w:jc w:val="center"/>
      </w:pPr>
      <w:r>
        <w:rPr>
          <w:rFonts w:ascii="Arial" w:hAnsi="Arial"/>
          <w:b/>
          <w:i w:val="0"/>
          <w:color w:val="1F4E79"/>
          <w:sz w:val="40"/>
        </w:rPr>
        <w:t>VANESHA JAISWAL</w:t>
      </w:r>
    </w:p>
    <w:p>
      <w:pPr>
        <w:spacing w:before="0" w:after="80"/>
        <w:jc w:val="center"/>
      </w:pPr>
      <w:r>
        <w:rPr>
          <w:rFonts w:ascii="Arial" w:hAnsi="Arial"/>
          <w:b w:val="0"/>
          <w:i/>
          <w:color w:val="444444"/>
          <w:sz w:val="18"/>
        </w:rPr>
        <w:t>MARKETING, GROWTH &amp; COMMERCIAL GTM LEADER  |  ADOBE CJA  |  MARKETING ANALYTICS  |  AI  |  FINTECH  |  B2B  |  INTEGRATED STRATEGY  |  SPORT &amp; COMMUNITY</w:t>
      </w:r>
    </w:p>
    <w:p>
      <w:pPr>
        <w:spacing w:before="0" w:after="160"/>
        <w:jc w:val="center"/>
      </w:pPr>
      <w:r>
        <w:rPr>
          <w:rFonts w:ascii="Arial" w:hAnsi="Arial"/>
          <w:b w:val="0"/>
          <w:i w:val="0"/>
          <w:color w:val="444444"/>
          <w:sz w:val="18"/>
        </w:rPr>
        <w:t>New York, NY  |  662 609 2639  |  vaneshajaiswal@gmail.com  |  linkedin.com/in/vaneshajaiswal</w:t>
      </w:r>
    </w:p>
    <w:p>
      <w:pPr>
        <w:pBdr>
          <w:bottom w:val="single" w:sz="4" w:space="1" w:color="1F4E79"/>
        </w:pBdr>
        <w:spacing w:before="160" w:after="40"/>
      </w:pPr>
      <w:r>
        <w:rPr>
          <w:rFonts w:ascii="Arial" w:hAnsi="Arial"/>
          <w:b/>
          <w:i w:val="0"/>
          <w:color w:val="1F4E79"/>
          <w:sz w:val="20"/>
        </w:rPr>
        <w:t>SUMMARY</w:t>
      </w:r>
    </w:p>
    <w:p>
      <w:pPr>
        <w:spacing w:before="40" w:after="40"/>
      </w:pPr>
      <w:r>
        <w:rPr>
          <w:rFonts w:ascii="Arial" w:hAnsi="Arial"/>
          <w:b w:val="0"/>
          <w:i w:val="0"/>
          <w:color w:val="000000"/>
          <w:sz w:val="18"/>
        </w:rPr>
        <w:t>I build growth around how audiences, buyers, accounts, and markets move — translating complex offers, Adobe Customer Journey Analytics (CJA) data, quantitative research inputs, and cross-channel performance signals into integrated strategies that generate demand, improve conversion, and drive commercial outcomes. My strength is turning fragmented inputs into practical direction: from setting up analytics foundations and building brand narratives to connecting reporting infrastructure, designing ABM programs, building AI-integrated GTM systems, and shaping go-to-market strategy across B2B, B2C, B2G, and community-facing environments. I have worked in telecom, transportation, AI, fintech, financial services, digital transformation, agency, and membership organization environments — including inside regulated markets where accuracy, trust, and compliance are non-negotiable. I am strongest in environments where the story needs sharpening, the system needs structure, and marketing has to create measurable commercial impact.</w:t>
      </w:r>
    </w:p>
    <w:p>
      <w:pPr>
        <w:pBdr>
          <w:bottom w:val="single" w:sz="4" w:space="1" w:color="1F4E79"/>
        </w:pBdr>
        <w:spacing w:before="160" w:after="40"/>
      </w:pPr>
      <w:r>
        <w:rPr>
          <w:rFonts w:ascii="Arial" w:hAnsi="Arial"/>
          <w:b/>
          <w:i w:val="0"/>
          <w:color w:val="1F4E79"/>
          <w:sz w:val="20"/>
        </w:rPr>
        <w:t>SELECTED HIGHLIGHTS</w:t>
      </w:r>
    </w:p>
    <w:p>
      <w:pPr>
        <w:pStyle w:val="ListBullet"/>
        <w:spacing w:before="20" w:after="20"/>
        <w:ind w:left="360"/>
      </w:pPr>
      <w:r>
        <w:rPr>
          <w:rFonts w:ascii="Arial" w:hAnsi="Arial"/>
          <w:b w:val="0"/>
          <w:i w:val="0"/>
          <w:color w:val="000000"/>
          <w:sz w:val="18"/>
        </w:rPr>
        <w:t>Built a B2B growth engine at GroundLink contributing to ~101% YoY revenue growth and ~535% inbound lead growth through connected B2B, B2C, and partner marketing across four transportation brands.</w:t>
      </w:r>
    </w:p>
    <w:p>
      <w:pPr>
        <w:pStyle w:val="ListBullet"/>
        <w:spacing w:before="20" w:after="20"/>
        <w:ind w:left="360"/>
      </w:pPr>
      <w:r>
        <w:rPr>
          <w:rFonts w:ascii="Arial" w:hAnsi="Arial"/>
          <w:b w:val="0"/>
          <w:i w:val="0"/>
          <w:color w:val="000000"/>
          <w:sz w:val="18"/>
        </w:rPr>
        <w:t>Improved commercial efficiency ~25% across large global B2B media programs at EssenceMediacom by connecting audience, messaging, ABM, analytics, and performance reporting across enterprise technology, financial services, and retail clients.</w:t>
      </w:r>
    </w:p>
    <w:p>
      <w:pPr>
        <w:pStyle w:val="ListBullet"/>
        <w:spacing w:before="20" w:after="20"/>
        <w:ind w:left="360"/>
      </w:pPr>
      <w:r>
        <w:rPr>
          <w:rFonts w:ascii="Arial" w:hAnsi="Arial"/>
          <w:b w:val="0"/>
          <w:i w:val="0"/>
          <w:color w:val="000000"/>
          <w:sz w:val="18"/>
        </w:rPr>
        <w:t>Increased ABM audience engagement ~20% through sharper account prioritization and coordinated planning across media, sales, lifecycle, and content.</w:t>
      </w:r>
    </w:p>
    <w:p>
      <w:pPr>
        <w:pStyle w:val="ListBullet"/>
        <w:spacing w:before="20" w:after="20"/>
        <w:ind w:left="360"/>
      </w:pPr>
      <w:r>
        <w:rPr>
          <w:rFonts w:ascii="Arial" w:hAnsi="Arial"/>
          <w:b w:val="0"/>
          <w:i w:val="0"/>
          <w:color w:val="000000"/>
          <w:sz w:val="18"/>
        </w:rPr>
        <w:t>Improved web traffic ~85%, conversions ~18%, and campaign speed ~30% at NeuGroup through clearer journeys, stronger content, analytics infrastructure improvements, and measurement alignment.</w:t>
      </w:r>
    </w:p>
    <w:p>
      <w:pPr>
        <w:pStyle w:val="ListBullet"/>
        <w:spacing w:before="20" w:after="20"/>
        <w:ind w:left="360"/>
      </w:pPr>
      <w:r>
        <w:rPr>
          <w:rFonts w:ascii="Arial" w:hAnsi="Arial"/>
          <w:b w:val="0"/>
          <w:i w:val="0"/>
          <w:color w:val="000000"/>
          <w:sz w:val="18"/>
        </w:rPr>
        <w:t>Reduced CPC ~43% at Icreon through stronger audience, channel, and campaign decisions linked to leads and opportunities.</w:t>
      </w:r>
    </w:p>
    <w:p>
      <w:pPr>
        <w:pStyle w:val="ListBullet"/>
        <w:spacing w:before="20" w:after="20"/>
        <w:ind w:left="360"/>
      </w:pPr>
      <w:r>
        <w:rPr>
          <w:rFonts w:ascii="Arial" w:hAnsi="Arial"/>
          <w:b w:val="0"/>
          <w:i w:val="0"/>
          <w:color w:val="000000"/>
          <w:sz w:val="18"/>
        </w:rPr>
        <w:t>Led GTM and analytics for an AI-powered identity fraud loss insurance platform at Instnt — improving engaged sessions ~17%, engagement rate ~20%, and qualified content downloads to ~45 per month at ~half prior CPC; generated ~5.9M impressions in the first six months.</w:t>
      </w:r>
    </w:p>
    <w:p>
      <w:pPr>
        <w:pStyle w:val="ListBullet"/>
        <w:spacing w:before="20" w:after="20"/>
        <w:ind w:left="360"/>
      </w:pPr>
      <w:r>
        <w:rPr>
          <w:rFonts w:ascii="Arial" w:hAnsi="Arial"/>
          <w:b w:val="0"/>
          <w:i w:val="0"/>
          <w:color w:val="000000"/>
          <w:sz w:val="18"/>
        </w:rPr>
        <w:t>Built website and analytics measurement foundations from scratch at Media Vision — implementing Google Analytics, Google Ads, channel tracking, and campaign reporting for multiple client accounts.</w:t>
      </w:r>
    </w:p>
    <w:p>
      <w:pPr>
        <w:pStyle w:val="ListBullet"/>
        <w:spacing w:before="20" w:after="20"/>
        <w:ind w:left="360"/>
      </w:pPr>
      <w:r>
        <w:rPr>
          <w:rFonts w:ascii="Arial" w:hAnsi="Arial"/>
          <w:b w:val="0"/>
          <w:i w:val="0"/>
          <w:color w:val="000000"/>
          <w:sz w:val="18"/>
        </w:rPr>
        <w:t>Built and applied quantitative research, controlled experiment design, regression-based analysis, and incrementality-oriented testing across roles to guide budget allocation, audience decisions, and campaign optimization.</w:t>
      </w:r>
    </w:p>
    <w:p>
      <w:pPr>
        <w:pStyle w:val="ListBullet"/>
        <w:spacing w:before="20" w:after="20"/>
        <w:ind w:left="360"/>
      </w:pPr>
      <w:r>
        <w:rPr>
          <w:rFonts w:ascii="Arial" w:hAnsi="Arial"/>
          <w:b w:val="0"/>
          <w:i w:val="0"/>
          <w:color w:val="000000"/>
          <w:sz w:val="18"/>
        </w:rPr>
        <w:t>Built ABM and lifecycle nurture programs connecting account engagement, CRM signals, content response, and sales feedback to prioritized outreach, follow-up paths, and pipeline contribution.</w:t>
      </w:r>
    </w:p>
    <w:p>
      <w:pPr>
        <w:pStyle w:val="ListBullet"/>
        <w:spacing w:before="20" w:after="20"/>
        <w:ind w:left="360"/>
      </w:pPr>
      <w:r>
        <w:rPr>
          <w:rFonts w:ascii="Arial" w:hAnsi="Arial"/>
          <w:b w:val="0"/>
          <w:i w:val="0"/>
          <w:color w:val="000000"/>
          <w:sz w:val="18"/>
        </w:rPr>
        <w:t>Managed marketing, media, and growth investments from ~$500K to $30M+ across startup, agency, enterprise, and global client environments.</w:t>
      </w:r>
    </w:p>
    <w:p>
      <w:pPr>
        <w:pStyle w:val="ListBullet"/>
        <w:spacing w:before="20" w:after="20"/>
        <w:ind w:left="360"/>
      </w:pPr>
      <w:r>
        <w:rPr>
          <w:rFonts w:ascii="Arial" w:hAnsi="Arial"/>
          <w:b w:val="0"/>
          <w:i w:val="0"/>
          <w:color w:val="000000"/>
          <w:sz w:val="18"/>
        </w:rPr>
        <w:t>Revitalized a stalled college loyalty program at Ole Miss for C Spire, culminating in a stadium car giveaway activation and multi-year program renewal — direct sports sponsorship and community activation experience.</w:t>
      </w:r>
    </w:p>
    <w:p>
      <w:pPr>
        <w:pStyle w:val="ListBullet"/>
        <w:spacing w:before="20" w:after="20"/>
        <w:ind w:left="360"/>
      </w:pPr>
      <w:r>
        <w:rPr>
          <w:rFonts w:ascii="Arial" w:hAnsi="Arial"/>
          <w:b w:val="0"/>
          <w:i w:val="0"/>
          <w:color w:val="000000"/>
          <w:sz w:val="18"/>
        </w:rPr>
        <w:t>Built Pain to Pipeline, an AI-integrated GTM planning and reporting system connecting customer pains, messaging, ABM, campaign logic, funnel performance, and attribution into a working growth engine.</w:t>
      </w:r>
    </w:p>
    <w:p>
      <w:pPr>
        <w:pBdr>
          <w:bottom w:val="single" w:sz="4" w:space="1" w:color="1F4E79"/>
        </w:pBdr>
        <w:spacing w:before="160" w:after="40"/>
      </w:pPr>
      <w:r>
        <w:rPr>
          <w:rFonts w:ascii="Arial" w:hAnsi="Arial"/>
          <w:b/>
          <w:i w:val="0"/>
          <w:color w:val="1F4E79"/>
          <w:sz w:val="20"/>
        </w:rPr>
        <w:t>SENIOR COMMERCIAL LEADERSHIP EVIDENCE</w:t>
      </w:r>
    </w:p>
    <w:p>
      <w:pPr>
        <w:pStyle w:val="ListBullet"/>
        <w:spacing w:before="20" w:after="20"/>
        <w:ind w:left="360"/>
      </w:pPr>
      <w:r>
        <w:rPr>
          <w:rFonts w:ascii="Arial" w:hAnsi="Arial"/>
          <w:b w:val="0"/>
          <w:i w:val="0"/>
          <w:color w:val="000000"/>
          <w:sz w:val="18"/>
        </w:rPr>
        <w:t>Managed marketing, media, and growth investments from ~$500K to $30M+ across startup, agency, enterprise, and client environments.</w:t>
      </w:r>
    </w:p>
    <w:p>
      <w:pPr>
        <w:pStyle w:val="ListBullet"/>
        <w:spacing w:before="20" w:after="20"/>
        <w:ind w:left="360"/>
      </w:pPr>
      <w:r>
        <w:rPr>
          <w:rFonts w:ascii="Arial" w:hAnsi="Arial"/>
          <w:b w:val="0"/>
          <w:i w:val="0"/>
          <w:color w:val="000000"/>
          <w:sz w:val="18"/>
        </w:rPr>
        <w:t>Built executive-ready reporting, performance narratives, recommendations, and decision frameworks tied to Adobe CJA, Adobe Analytics, Google Analytics, Google Ads, media, CRM, web, lifecycle, and ABM data.</w:t>
      </w:r>
    </w:p>
    <w:p>
      <w:pPr>
        <w:pStyle w:val="ListBullet"/>
        <w:spacing w:before="20" w:after="20"/>
        <w:ind w:left="360"/>
      </w:pPr>
      <w:r>
        <w:rPr>
          <w:rFonts w:ascii="Arial" w:hAnsi="Arial"/>
          <w:b w:val="0"/>
          <w:i w:val="0"/>
          <w:color w:val="000000"/>
          <w:sz w:val="18"/>
        </w:rPr>
        <w:t>Managed relationships across C-suite leaders, client leadership teams, board and trustee stakeholders, legal, compliance, operations, sales, product, analytics, and community partners.</w:t>
      </w:r>
    </w:p>
    <w:p>
      <w:pPr>
        <w:pStyle w:val="ListBullet"/>
        <w:spacing w:before="20" w:after="20"/>
        <w:ind w:left="360"/>
      </w:pPr>
      <w:r>
        <w:rPr>
          <w:rFonts w:ascii="Arial" w:hAnsi="Arial"/>
          <w:b w:val="0"/>
          <w:i w:val="0"/>
          <w:color w:val="000000"/>
          <w:sz w:val="18"/>
        </w:rPr>
        <w:t>Led and influenced teams up to 20 across strategy, analytics, media, creative, execution, reporting, and cross-functional delivery.</w:t>
      </w:r>
    </w:p>
    <w:p>
      <w:pPr>
        <w:pStyle w:val="ListBullet"/>
        <w:spacing w:before="20" w:after="20"/>
        <w:ind w:left="360"/>
      </w:pPr>
      <w:r>
        <w:rPr>
          <w:rFonts w:ascii="Arial" w:hAnsi="Arial"/>
          <w:b w:val="0"/>
          <w:i w:val="0"/>
          <w:color w:val="000000"/>
          <w:sz w:val="18"/>
        </w:rPr>
        <w:t>Managed vendors, agencies, analytics platform partners, scopes, timelines, quality, deliverables, performance expectations, and strategic recommendations across complex environments.</w:t>
      </w:r>
    </w:p>
    <w:p>
      <w:pPr>
        <w:pStyle w:val="ListBullet"/>
        <w:spacing w:before="20" w:after="20"/>
        <w:ind w:left="360"/>
      </w:pPr>
      <w:r>
        <w:rPr>
          <w:rFonts w:ascii="Arial" w:hAnsi="Arial"/>
          <w:b w:val="0"/>
          <w:i w:val="0"/>
          <w:color w:val="000000"/>
          <w:sz w:val="18"/>
        </w:rPr>
        <w:t>Created operating rhythms, reporting structures, approval workflows, and ownership models that helped teams move from scattered activity to coordinated commercial execution.</w:t>
      </w:r>
    </w:p>
    <w:p>
      <w:pPr>
        <w:pStyle w:val="ListBullet"/>
        <w:spacing w:before="20" w:after="20"/>
        <w:ind w:left="360"/>
      </w:pPr>
      <w:r>
        <w:rPr>
          <w:rFonts w:ascii="Arial" w:hAnsi="Arial"/>
          <w:b w:val="0"/>
          <w:i w:val="0"/>
          <w:color w:val="000000"/>
          <w:sz w:val="18"/>
        </w:rPr>
        <w:t>Translated business goals into priorities, roadmaps, budgets, content plans, campaign plans, communications, analytics narratives, and executive-facing performance stories.</w:t>
      </w:r>
    </w:p>
    <w:p>
      <w:pPr>
        <w:pBdr>
          <w:bottom w:val="single" w:sz="4" w:space="1" w:color="1F4E79"/>
        </w:pBdr>
        <w:spacing w:before="160" w:after="40"/>
      </w:pPr>
      <w:r>
        <w:rPr>
          <w:rFonts w:ascii="Arial" w:hAnsi="Arial"/>
          <w:b/>
          <w:i w:val="0"/>
          <w:color w:val="1F4E79"/>
          <w:sz w:val="20"/>
        </w:rPr>
        <w:t>ABM, PIPELINE CONTRIBUTION, AND SALES ALIGNMENT</w:t>
      </w:r>
    </w:p>
    <w:p>
      <w:pPr>
        <w:pStyle w:val="ListBullet"/>
        <w:spacing w:before="20" w:after="20"/>
        <w:ind w:left="360"/>
      </w:pPr>
      <w:r>
        <w:rPr>
          <w:rFonts w:ascii="Arial" w:hAnsi="Arial"/>
          <w:b w:val="0"/>
          <w:i w:val="0"/>
          <w:color w:val="000000"/>
          <w:sz w:val="18"/>
        </w:rPr>
        <w:t>Used ABM to identify and prioritize high-value target accounts based on ICP fit, intent signals, firmographic data, and engagement behavior — coordinating with sales on outreach timing, messaging, and follow-up.</w:t>
      </w:r>
    </w:p>
    <w:p>
      <w:pPr>
        <w:pStyle w:val="ListBullet"/>
        <w:spacing w:before="20" w:after="20"/>
        <w:ind w:left="360"/>
      </w:pPr>
      <w:r>
        <w:rPr>
          <w:rFonts w:ascii="Arial" w:hAnsi="Arial"/>
          <w:b w:val="0"/>
          <w:i w:val="0"/>
          <w:color w:val="000000"/>
          <w:sz w:val="18"/>
        </w:rPr>
        <w:t>Built ABM and lifecycle nurture programs connecting account engagement, CRM signals, content response, and sales feedback to pipeline contribution and downstream outcomes.</w:t>
      </w:r>
    </w:p>
    <w:p>
      <w:pPr>
        <w:pStyle w:val="ListBullet"/>
        <w:spacing w:before="20" w:after="20"/>
        <w:ind w:left="360"/>
      </w:pPr>
      <w:r>
        <w:rPr>
          <w:rFonts w:ascii="Arial" w:hAnsi="Arial"/>
          <w:b w:val="0"/>
          <w:i w:val="0"/>
          <w:color w:val="000000"/>
          <w:sz w:val="18"/>
        </w:rPr>
        <w:t>Coordinated closely with sales leadership, account executives, and revenue teams to align on account prioritization, messaging, content needs, and qualification criteria.</w:t>
      </w:r>
    </w:p>
    <w:p>
      <w:pPr>
        <w:pStyle w:val="ListBullet"/>
        <w:spacing w:before="20" w:after="20"/>
        <w:ind w:left="360"/>
      </w:pPr>
      <w:r>
        <w:rPr>
          <w:rFonts w:ascii="Arial" w:hAnsi="Arial"/>
          <w:b w:val="0"/>
          <w:i w:val="0"/>
          <w:color w:val="000000"/>
          <w:sz w:val="18"/>
        </w:rPr>
        <w:t>Increased ABM audience engagement ~20% at EssenceMediacom through sharper account prioritization and coordinated planning across media, sales, lifecycle, and content.</w:t>
      </w:r>
    </w:p>
    <w:p>
      <w:pPr>
        <w:pStyle w:val="ListBullet"/>
        <w:spacing w:before="20" w:after="20"/>
        <w:ind w:left="360"/>
      </w:pPr>
      <w:r>
        <w:rPr>
          <w:rFonts w:ascii="Arial" w:hAnsi="Arial"/>
          <w:b w:val="0"/>
          <w:i w:val="0"/>
          <w:color w:val="000000"/>
          <w:sz w:val="18"/>
        </w:rPr>
        <w:t>Applied ABM approaches across B2B, fintech, enterprise technology, and digital transformation environments — adapting tools, signals, and sales integration to each context.</w:t>
      </w:r>
    </w:p>
    <w:p>
      <w:pPr>
        <w:pStyle w:val="ListBullet"/>
        <w:spacing w:before="20" w:after="20"/>
        <w:ind w:left="360"/>
      </w:pPr>
      <w:r>
        <w:rPr>
          <w:rFonts w:ascii="Arial" w:hAnsi="Arial"/>
          <w:b w:val="0"/>
          <w:i w:val="0"/>
          <w:color w:val="000000"/>
          <w:sz w:val="18"/>
        </w:rPr>
        <w:t>Used CRM, lifecycle, and account engagement signals to help sales identify high-value business accounts and support nurture paths that moved accounts from awareness to opportunity.</w:t>
      </w:r>
    </w:p>
    <w:p>
      <w:pPr>
        <w:pBdr>
          <w:bottom w:val="single" w:sz="4" w:space="1" w:color="1F4E79"/>
        </w:pBdr>
        <w:spacing w:before="160" w:after="40"/>
      </w:pPr>
      <w:r>
        <w:rPr>
          <w:rFonts w:ascii="Arial" w:hAnsi="Arial"/>
          <w:b/>
          <w:i w:val="0"/>
          <w:color w:val="1F4E79"/>
          <w:sz w:val="20"/>
        </w:rPr>
        <w:t>AUDIENCE ACTIVATION, DATA ENRICHMENT, AND CONSUMER INTELLIGENCE</w:t>
      </w:r>
    </w:p>
    <w:p>
      <w:pPr>
        <w:pStyle w:val="ListBullet"/>
        <w:spacing w:before="20" w:after="20"/>
        <w:ind w:left="360"/>
      </w:pPr>
      <w:r>
        <w:rPr>
          <w:rFonts w:ascii="Arial" w:hAnsi="Arial"/>
          <w:b w:val="0"/>
          <w:i w:val="0"/>
          <w:color w:val="000000"/>
          <w:sz w:val="18"/>
        </w:rPr>
        <w:t>Applied consumer and audience intelligence to media planning, targeting, segmentation, and campaign activation across enterprise technology, financial services, fintech, transportation, telecom, and membership organization environments.</w:t>
      </w:r>
    </w:p>
    <w:p>
      <w:pPr>
        <w:pStyle w:val="ListBullet"/>
        <w:spacing w:before="20" w:after="20"/>
        <w:ind w:left="360"/>
      </w:pPr>
      <w:r>
        <w:rPr>
          <w:rFonts w:ascii="Arial" w:hAnsi="Arial"/>
          <w:b w:val="0"/>
          <w:i w:val="0"/>
          <w:color w:val="000000"/>
          <w:sz w:val="18"/>
        </w:rPr>
        <w:t>Used syndicated audience data, first-party CRM signals, behavioral data, intent indicators, quantitative research inputs, and campaign performance to build audience strategies that connected with the right buyers across the right channels.</w:t>
      </w:r>
    </w:p>
    <w:p>
      <w:pPr>
        <w:pStyle w:val="ListBullet"/>
        <w:spacing w:before="20" w:after="20"/>
        <w:ind w:left="360"/>
      </w:pPr>
      <w:r>
        <w:rPr>
          <w:rFonts w:ascii="Arial" w:hAnsi="Arial"/>
          <w:b w:val="0"/>
          <w:i w:val="0"/>
          <w:color w:val="000000"/>
          <w:sz w:val="18"/>
        </w:rPr>
        <w:t>Translated audience intelligence into actionable media strategies, content priorities, and activation frameworks — helping teams move from broad awareness to specific, conversion-oriented engagement.</w:t>
      </w:r>
    </w:p>
    <w:p>
      <w:pPr>
        <w:pStyle w:val="ListBullet"/>
        <w:spacing w:before="20" w:after="20"/>
        <w:ind w:left="360"/>
      </w:pPr>
      <w:r>
        <w:rPr>
          <w:rFonts w:ascii="Arial" w:hAnsi="Arial"/>
          <w:b w:val="0"/>
          <w:i w:val="0"/>
          <w:color w:val="000000"/>
          <w:sz w:val="18"/>
        </w:rPr>
        <w:t>Used synthetic audience research and performance testing at Instnt to shape content and creative strategy around fraud loss, compliance risk, and financial institution trust dynamics.</w:t>
      </w:r>
    </w:p>
    <w:p>
      <w:pPr>
        <w:pStyle w:val="ListBullet"/>
        <w:spacing w:before="20" w:after="20"/>
        <w:ind w:left="360"/>
      </w:pPr>
      <w:r>
        <w:rPr>
          <w:rFonts w:ascii="Arial" w:hAnsi="Arial"/>
          <w:b w:val="0"/>
          <w:i w:val="0"/>
          <w:color w:val="000000"/>
          <w:sz w:val="18"/>
        </w:rPr>
        <w:t>Partnered with programmatic, investment, digital, and activation teams inside agency holding company environments at EssenceMediacom to connect audience strategy to media investment and creative direction.</w:t>
      </w:r>
    </w:p>
    <w:p>
      <w:pPr>
        <w:pStyle w:val="ListBullet"/>
        <w:spacing w:before="20" w:after="20"/>
        <w:ind w:left="360"/>
      </w:pPr>
      <w:r>
        <w:rPr>
          <w:rFonts w:ascii="Arial" w:hAnsi="Arial"/>
          <w:b w:val="0"/>
          <w:i w:val="0"/>
          <w:color w:val="000000"/>
          <w:sz w:val="18"/>
        </w:rPr>
        <w:t>Developed data-driven audience proposals and presentations articulating audience value, data-driven targeting capabilities, and the commercial case for sharper audience focus to agency and brand stakeholders.</w:t>
      </w:r>
    </w:p>
    <w:p>
      <w:pPr>
        <w:pBdr>
          <w:bottom w:val="single" w:sz="4" w:space="1" w:color="1F4E79"/>
        </w:pBdr>
        <w:spacing w:before="160" w:after="40"/>
      </w:pPr>
      <w:r>
        <w:rPr>
          <w:rFonts w:ascii="Arial" w:hAnsi="Arial"/>
          <w:b/>
          <w:i w:val="0"/>
          <w:color w:val="1F4E79"/>
          <w:sz w:val="20"/>
        </w:rPr>
        <w:t>SALES ENABLEMENT, DEAL SUPPORT, AND BUYER UNDERSTANDING</w:t>
      </w:r>
    </w:p>
    <w:p>
      <w:pPr>
        <w:pStyle w:val="ListBullet"/>
        <w:spacing w:before="20" w:after="20"/>
        <w:ind w:left="360"/>
      </w:pPr>
      <w:r>
        <w:rPr>
          <w:rFonts w:ascii="Arial" w:hAnsi="Arial"/>
          <w:b w:val="0"/>
          <w:i w:val="0"/>
          <w:color w:val="000000"/>
          <w:sz w:val="18"/>
        </w:rPr>
        <w:t>Built sales-facing narratives, buyer-facing messaging, case studies, webinars, landing pages, thought leadership, content systems, and GTM frameworks that helped sales teams communicate complex value more clearly and efficiently.</w:t>
      </w:r>
    </w:p>
    <w:p>
      <w:pPr>
        <w:pStyle w:val="ListBullet"/>
        <w:spacing w:before="20" w:after="20"/>
        <w:ind w:left="360"/>
      </w:pPr>
      <w:r>
        <w:rPr>
          <w:rFonts w:ascii="Arial" w:hAnsi="Arial"/>
          <w:b w:val="0"/>
          <w:i w:val="0"/>
          <w:color w:val="000000"/>
          <w:sz w:val="18"/>
        </w:rPr>
        <w:t>Worked with sales leadership, executives, legal, and compliance to refine ICP, vertical focus, buyer messaging, enterprise deals, and go-to-market prioritization.</w:t>
      </w:r>
    </w:p>
    <w:p>
      <w:pPr>
        <w:pStyle w:val="ListBullet"/>
        <w:spacing w:before="20" w:after="20"/>
        <w:ind w:left="360"/>
      </w:pPr>
      <w:r>
        <w:rPr>
          <w:rFonts w:ascii="Arial" w:hAnsi="Arial"/>
          <w:b w:val="0"/>
          <w:i w:val="0"/>
          <w:color w:val="000000"/>
          <w:sz w:val="18"/>
        </w:rPr>
        <w:t>Translated fraud, onboarding, trust, risk, revenue protection, digital transformation, audience activation, and operational efficiency into buyer-relevant language that shortened sales conversations and improved engagement quality.</w:t>
      </w:r>
    </w:p>
    <w:p>
      <w:pPr>
        <w:pStyle w:val="ListBullet"/>
        <w:spacing w:before="20" w:after="20"/>
        <w:ind w:left="360"/>
      </w:pPr>
      <w:r>
        <w:rPr>
          <w:rFonts w:ascii="Arial" w:hAnsi="Arial"/>
          <w:b w:val="0"/>
          <w:i w:val="0"/>
          <w:color w:val="000000"/>
          <w:sz w:val="18"/>
        </w:rPr>
        <w:t>Used sales feedback, customer questions, campaign response, account engagement, and market signals to shape messaging, website content, webinar topics, and campaign direction.</w:t>
      </w:r>
    </w:p>
    <w:p>
      <w:pPr>
        <w:pStyle w:val="ListBullet"/>
        <w:spacing w:before="20" w:after="20"/>
        <w:ind w:left="360"/>
      </w:pPr>
      <w:r>
        <w:rPr>
          <w:rFonts w:ascii="Arial" w:hAnsi="Arial"/>
          <w:b w:val="0"/>
          <w:i w:val="0"/>
          <w:color w:val="000000"/>
          <w:sz w:val="18"/>
        </w:rPr>
        <w:t>Developed materials and messaging that helped sales, leadership, and customer-facing teams communicate complex value more credibly to executives, compliance teams, and procurement stakeholders.</w:t>
      </w:r>
    </w:p>
    <w:p>
      <w:pPr>
        <w:pBdr>
          <w:bottom w:val="single" w:sz="4" w:space="1" w:color="1F4E79"/>
        </w:pBdr>
        <w:spacing w:before="160" w:after="40"/>
      </w:pPr>
      <w:r>
        <w:rPr>
          <w:rFonts w:ascii="Arial" w:hAnsi="Arial"/>
          <w:b/>
          <w:i w:val="0"/>
          <w:color w:val="1F4E79"/>
          <w:sz w:val="20"/>
        </w:rPr>
        <w:t>COMPETITIVE POSITIONING, MARKET NARRATIVE, AND CATEGORY TRANSLATION</w:t>
      </w:r>
    </w:p>
    <w:p>
      <w:pPr>
        <w:pStyle w:val="ListBullet"/>
        <w:spacing w:before="20" w:after="20"/>
        <w:ind w:left="360"/>
      </w:pPr>
      <w:r>
        <w:rPr>
          <w:rFonts w:ascii="Arial" w:hAnsi="Arial"/>
          <w:b w:val="0"/>
          <w:i w:val="0"/>
          <w:color w:val="000000"/>
          <w:sz w:val="18"/>
        </w:rPr>
        <w:t>Translated complex products and services into clearer positioning across AI, fintech, SaaS, financial services, digital transformation, telecom, transportation, and membership organization environments.</w:t>
      </w:r>
    </w:p>
    <w:p>
      <w:pPr>
        <w:pStyle w:val="ListBullet"/>
        <w:spacing w:before="20" w:after="20"/>
        <w:ind w:left="360"/>
      </w:pPr>
      <w:r>
        <w:rPr>
          <w:rFonts w:ascii="Arial" w:hAnsi="Arial"/>
          <w:b w:val="0"/>
          <w:i w:val="0"/>
          <w:color w:val="000000"/>
          <w:sz w:val="18"/>
        </w:rPr>
        <w:t>Used buyer, market, and competitive signals to sharpen positioning, audience focus, campaign messaging, content strategy, and go-to-market prioritization.</w:t>
      </w:r>
    </w:p>
    <w:p>
      <w:pPr>
        <w:pStyle w:val="ListBullet"/>
        <w:spacing w:before="20" w:after="20"/>
        <w:ind w:left="360"/>
      </w:pPr>
      <w:r>
        <w:rPr>
          <w:rFonts w:ascii="Arial" w:hAnsi="Arial"/>
          <w:b w:val="0"/>
          <w:i w:val="0"/>
          <w:color w:val="000000"/>
          <w:sz w:val="18"/>
        </w:rPr>
        <w:t>Connected product value to audience pain, use cases, decision criteria, proof needs, market context, and business outcomes — moving positioning from generic claims to specific, credible narratives.</w:t>
      </w:r>
    </w:p>
    <w:p>
      <w:pPr>
        <w:pStyle w:val="ListBullet"/>
        <w:spacing w:before="20" w:after="20"/>
        <w:ind w:left="360"/>
      </w:pPr>
      <w:r>
        <w:rPr>
          <w:rFonts w:ascii="Arial" w:hAnsi="Arial"/>
          <w:b w:val="0"/>
          <w:i w:val="0"/>
          <w:color w:val="000000"/>
          <w:sz w:val="18"/>
        </w:rPr>
        <w:t>Supported trust-sensitive positioning where buyers needed clarity around risk, accuracy, compliance, operational impact, and implementation reality before engaging.</w:t>
      </w:r>
    </w:p>
    <w:p>
      <w:pPr>
        <w:pStyle w:val="ListBullet"/>
        <w:spacing w:before="20" w:after="20"/>
        <w:ind w:left="360"/>
      </w:pPr>
      <w:r>
        <w:rPr>
          <w:rFonts w:ascii="Arial" w:hAnsi="Arial"/>
          <w:b w:val="0"/>
          <w:i w:val="0"/>
          <w:color w:val="000000"/>
          <w:sz w:val="18"/>
        </w:rPr>
        <w:t>Developed thought leadership, case studies, executive visibility, PR, webinar narratives, and buyer-facing stories that established category credibility in competitive and regulated markets.</w:t>
      </w:r>
    </w:p>
    <w:p>
      <w:pPr>
        <w:pBdr>
          <w:bottom w:val="single" w:sz="4" w:space="1" w:color="1F4E79"/>
        </w:pBdr>
        <w:spacing w:before="160" w:after="40"/>
      </w:pPr>
      <w:r>
        <w:rPr>
          <w:rFonts w:ascii="Arial" w:hAnsi="Arial"/>
          <w:b/>
          <w:i w:val="0"/>
          <w:color w:val="1F4E79"/>
          <w:sz w:val="20"/>
        </w:rPr>
        <w:t>COMPLIANCE, RISK, GOVERNANCE, AND TRUST-SENSITIVE COMMUNICATIONS</w:t>
      </w:r>
    </w:p>
    <w:p>
      <w:pPr>
        <w:pStyle w:val="ListBullet"/>
        <w:spacing w:before="20" w:after="20"/>
        <w:ind w:left="360"/>
      </w:pPr>
      <w:r>
        <w:rPr>
          <w:rFonts w:ascii="Arial" w:hAnsi="Arial"/>
          <w:b w:val="0"/>
          <w:i w:val="0"/>
          <w:color w:val="000000"/>
          <w:sz w:val="18"/>
        </w:rPr>
        <w:t>Worked in regulated and trust-sensitive environments including fintech, financial services, telecom, transportation, identity verification, and membership organizations — where accuracy, privacy, claims substantiation, and communications governance were operationally required.</w:t>
      </w:r>
    </w:p>
    <w:p>
      <w:pPr>
        <w:pStyle w:val="ListBullet"/>
        <w:spacing w:before="20" w:after="20"/>
        <w:ind w:left="360"/>
      </w:pPr>
      <w:r>
        <w:rPr>
          <w:rFonts w:ascii="Arial" w:hAnsi="Arial"/>
          <w:b w:val="0"/>
          <w:i w:val="0"/>
          <w:color w:val="000000"/>
          <w:sz w:val="18"/>
        </w:rPr>
        <w:t>Partnered with legal, compliance, operations, sales, product, engineering, and leadership teams to keep messaging accurate, defensible, and aligned with regulatory and contractual requirements.</w:t>
      </w:r>
    </w:p>
    <w:p>
      <w:pPr>
        <w:pStyle w:val="ListBullet"/>
        <w:spacing w:before="20" w:after="20"/>
        <w:ind w:left="360"/>
      </w:pPr>
      <w:r>
        <w:rPr>
          <w:rFonts w:ascii="Arial" w:hAnsi="Arial"/>
          <w:b w:val="0"/>
          <w:i w:val="0"/>
          <w:color w:val="000000"/>
          <w:sz w:val="18"/>
        </w:rPr>
        <w:t>Supported compliance-sensitive messaging, approval workflows, legal review needs, claims awareness, regulated customer communications, and partner-facing content across multiple environments.</w:t>
      </w:r>
    </w:p>
    <w:p>
      <w:pPr>
        <w:pStyle w:val="ListBullet"/>
        <w:spacing w:before="20" w:after="20"/>
        <w:ind w:left="360"/>
      </w:pPr>
      <w:r>
        <w:rPr>
          <w:rFonts w:ascii="Arial" w:hAnsi="Arial"/>
          <w:b w:val="0"/>
          <w:i w:val="0"/>
          <w:color w:val="000000"/>
          <w:sz w:val="18"/>
        </w:rPr>
        <w:t>Maintained awareness of privacy, consent, data capture, claims substantiation, certification, licensing, partner obligations, and regulatory context across marketing and communications work.</w:t>
      </w:r>
    </w:p>
    <w:p>
      <w:pPr>
        <w:pBdr>
          <w:bottom w:val="single" w:sz="4" w:space="1" w:color="1F4E79"/>
        </w:pBdr>
        <w:spacing w:before="160" w:after="40"/>
      </w:pPr>
      <w:r>
        <w:rPr>
          <w:rFonts w:ascii="Arial" w:hAnsi="Arial"/>
          <w:b/>
          <w:i w:val="0"/>
          <w:color w:val="1F4E79"/>
          <w:sz w:val="20"/>
        </w:rPr>
        <w:t>ADOBE CJA, MARKETING ANALYTICS, AND MEASUREMENT</w:t>
      </w:r>
    </w:p>
    <w:p>
      <w:pPr>
        <w:pStyle w:val="ListBullet"/>
        <w:spacing w:before="20" w:after="20"/>
        <w:ind w:left="360"/>
      </w:pPr>
      <w:r>
        <w:rPr>
          <w:rFonts w:ascii="Arial" w:hAnsi="Arial"/>
          <w:b w:val="0"/>
          <w:i w:val="0"/>
          <w:color w:val="000000"/>
          <w:sz w:val="18"/>
        </w:rPr>
        <w:t>Hands-on marketing analytics experience across Adobe Customer Journey Analytics (CJA), Adobe Analytics, Adobe Marketing Analytics, Google Analytics (GA4), Google Ads, Salesforce, Eloqua, Tableau, Power BI, Google Data Studio/Looker Studio, and HubSpot.</w:t>
      </w:r>
    </w:p>
    <w:p>
      <w:pPr>
        <w:pStyle w:val="ListBullet"/>
        <w:spacing w:before="20" w:after="20"/>
        <w:ind w:left="360"/>
      </w:pPr>
      <w:r>
        <w:rPr>
          <w:rFonts w:ascii="Arial" w:hAnsi="Arial"/>
          <w:b w:val="0"/>
          <w:i w:val="0"/>
          <w:color w:val="000000"/>
          <w:sz w:val="18"/>
        </w:rPr>
        <w:t>Hands-on quantitative research execution across campaign, audience, funnel, CRM, web, lifecycle, and ABM data — including controlled experiment design, regression-based analysis, time series review, lift and incrementality frameworks, and MMM/econometric concept application.</w:t>
      </w:r>
    </w:p>
    <w:p>
      <w:pPr>
        <w:pStyle w:val="ListBullet"/>
        <w:spacing w:before="20" w:after="20"/>
        <w:ind w:left="360"/>
      </w:pPr>
      <w:r>
        <w:rPr>
          <w:rFonts w:ascii="Arial" w:hAnsi="Arial"/>
          <w:b w:val="0"/>
          <w:i w:val="0"/>
          <w:color w:val="000000"/>
          <w:sz w:val="18"/>
        </w:rPr>
        <w:t>Built website and analytics foundations from scratch starting at Media Vision — including site structure, Google Analytics, Google Ads, channel tracking, goal configuration, and reporting architecture.</w:t>
      </w:r>
    </w:p>
    <w:p>
      <w:pPr>
        <w:pStyle w:val="ListBullet"/>
        <w:spacing w:before="20" w:after="20"/>
        <w:ind w:left="360"/>
      </w:pPr>
      <w:r>
        <w:rPr>
          <w:rFonts w:ascii="Arial" w:hAnsi="Arial"/>
          <w:b w:val="0"/>
          <w:i w:val="0"/>
          <w:color w:val="000000"/>
          <w:sz w:val="18"/>
        </w:rPr>
        <w:t>Built and interpreted dashboards using Tableau, Power BI, Google Data Studio/Looker Studio, Adobe CJA, and Adobe Analytics — connecting paid, owned, earned, and lifecycle signals to decisions about content, budget, and campaign direction.</w:t>
      </w:r>
    </w:p>
    <w:p>
      <w:pPr>
        <w:pStyle w:val="ListBullet"/>
        <w:spacing w:before="20" w:after="20"/>
        <w:ind w:left="360"/>
      </w:pPr>
      <w:r>
        <w:rPr>
          <w:rFonts w:ascii="Arial" w:hAnsi="Arial"/>
          <w:b w:val="0"/>
          <w:i w:val="0"/>
          <w:color w:val="000000"/>
          <w:sz w:val="18"/>
        </w:rPr>
        <w:t>Built and operated analytics operating models — establishing measurement standards, KPI frameworks, attribution logic, controlled testing approaches, and reporting cadences across campaigns, channels, and client environments.</w:t>
      </w:r>
    </w:p>
    <w:p>
      <w:pPr>
        <w:pStyle w:val="ListBullet"/>
        <w:spacing w:before="20" w:after="20"/>
        <w:ind w:left="360"/>
      </w:pPr>
      <w:r>
        <w:rPr>
          <w:rFonts w:ascii="Arial" w:hAnsi="Arial"/>
          <w:b w:val="0"/>
          <w:i w:val="0"/>
          <w:color w:val="000000"/>
          <w:sz w:val="18"/>
        </w:rPr>
        <w:t>Applied Adobe CJA and Google Analytics signals with AI-enabled natural language querying and prompt design to accelerate insight generation and reduce time from data to decision.</w:t>
      </w:r>
    </w:p>
    <w:p>
      <w:pPr>
        <w:pStyle w:val="ListBullet"/>
        <w:spacing w:before="20" w:after="20"/>
        <w:ind w:left="360"/>
      </w:pPr>
      <w:r>
        <w:rPr>
          <w:rFonts w:ascii="Arial" w:hAnsi="Arial"/>
          <w:b w:val="0"/>
          <w:i w:val="0"/>
          <w:color w:val="000000"/>
          <w:sz w:val="18"/>
        </w:rPr>
        <w:t>Used analytics to move beyond reporting activity toward decision frameworks that helped teams understand where to scale, where to stop, and where to test next.</w:t>
      </w:r>
    </w:p>
    <w:p>
      <w:pPr>
        <w:pStyle w:val="ListBullet"/>
        <w:spacing w:before="20" w:after="20"/>
        <w:ind w:left="360"/>
      </w:pPr>
      <w:r>
        <w:rPr>
          <w:rFonts w:ascii="Arial" w:hAnsi="Arial"/>
          <w:b w:val="0"/>
          <w:i w:val="0"/>
          <w:color w:val="000000"/>
          <w:sz w:val="18"/>
        </w:rPr>
        <w:t>Experience with basic SQL query logic for audience segmentation, funnel analysis, and campaign performance review.</w:t>
      </w:r>
    </w:p>
    <w:p>
      <w:pPr>
        <w:pBdr>
          <w:bottom w:val="single" w:sz="4" w:space="1" w:color="1F4E79"/>
        </w:pBdr>
        <w:spacing w:before="160" w:after="40"/>
      </w:pPr>
      <w:r>
        <w:rPr>
          <w:rFonts w:ascii="Arial" w:hAnsi="Arial"/>
          <w:b/>
          <w:i w:val="0"/>
          <w:color w:val="1F4E79"/>
          <w:sz w:val="20"/>
        </w:rPr>
        <w:t>AI, SYSTEMS, AND WORKFLOW DESIGN</w:t>
      </w:r>
    </w:p>
    <w:p>
      <w:pPr>
        <w:pStyle w:val="ListBullet"/>
        <w:spacing w:before="20" w:after="20"/>
        <w:ind w:left="360"/>
      </w:pPr>
      <w:r>
        <w:rPr>
          <w:rFonts w:ascii="Arial" w:hAnsi="Arial"/>
          <w:b w:val="0"/>
          <w:i w:val="0"/>
          <w:color w:val="000000"/>
          <w:sz w:val="18"/>
        </w:rPr>
        <w:t>Built Pain to Pipeline, an AI-integrated GTM planning and reporting system connecting audience pain, customer need, offer, budget, channel, account signals, campaign logic, funnel performance, and attribution into a practical growth engine.</w:t>
      </w:r>
    </w:p>
    <w:p>
      <w:pPr>
        <w:pStyle w:val="ListBullet"/>
        <w:spacing w:before="20" w:after="20"/>
        <w:ind w:left="360"/>
      </w:pPr>
      <w:r>
        <w:rPr>
          <w:rFonts w:ascii="Arial" w:hAnsi="Arial"/>
          <w:b w:val="0"/>
          <w:i w:val="0"/>
          <w:color w:val="000000"/>
          <w:sz w:val="18"/>
        </w:rPr>
        <w:t>Designed reporting logic around impressions, clicks, leads, MQLs, SQOs, pipeline, closed revenue, velocity, CAC, LTV, qualified downloads, and engagement metrics — connecting measurement to decisions.</w:t>
      </w:r>
    </w:p>
    <w:p>
      <w:pPr>
        <w:pStyle w:val="ListBullet"/>
        <w:spacing w:before="20" w:after="20"/>
        <w:ind w:left="360"/>
      </w:pPr>
      <w:r>
        <w:rPr>
          <w:rFonts w:ascii="Arial" w:hAnsi="Arial"/>
          <w:b w:val="0"/>
          <w:i w:val="0"/>
          <w:color w:val="000000"/>
          <w:sz w:val="18"/>
        </w:rPr>
        <w:t>Use AI across research, synthesis, content development, message testing, workflow design, performance interpretation, prompt engineering, and agent orchestration — treating AI as a genuine operating tool, not an experiment.</w:t>
      </w:r>
    </w:p>
    <w:p>
      <w:pPr>
        <w:pStyle w:val="ListBullet"/>
        <w:spacing w:before="20" w:after="20"/>
        <w:ind w:left="360"/>
      </w:pPr>
      <w:r>
        <w:rPr>
          <w:rFonts w:ascii="Arial" w:hAnsi="Arial"/>
          <w:b w:val="0"/>
          <w:i w:val="0"/>
          <w:color w:val="000000"/>
          <w:sz w:val="18"/>
        </w:rPr>
        <w:t>Build workflows that help teams move from fragmented inputs to clearer priorities, content systems, campaign decisions, and reporting structures.</w:t>
      </w:r>
    </w:p>
    <w:p>
      <w:pPr>
        <w:pStyle w:val="ListBullet"/>
        <w:spacing w:before="20" w:after="20"/>
        <w:ind w:left="360"/>
      </w:pPr>
      <w:r>
        <w:rPr>
          <w:rFonts w:ascii="Arial" w:hAnsi="Arial"/>
          <w:b w:val="0"/>
          <w:i w:val="0"/>
          <w:color w:val="000000"/>
          <w:sz w:val="18"/>
        </w:rPr>
        <w:t>Use Claude, ChatGPT, Perplexity, Gemini, and prompt engineering daily for research acceleration, content production, audience analysis, competitive intelligence, and campaign optimization.</w:t>
      </w:r>
    </w:p>
    <w:p>
      <w:pPr>
        <w:pBdr>
          <w:bottom w:val="single" w:sz="4" w:space="1" w:color="1F4E79"/>
        </w:pBdr>
        <w:spacing w:before="160" w:after="40"/>
      </w:pPr>
      <w:r>
        <w:rPr>
          <w:rFonts w:ascii="Arial" w:hAnsi="Arial"/>
          <w:b/>
          <w:i w:val="0"/>
          <w:color w:val="1F4E79"/>
          <w:sz w:val="20"/>
        </w:rPr>
        <w:t>COMMERCIAL, GLOBAL, AND LEADERSHIP SCOPE</w:t>
      </w:r>
    </w:p>
    <w:p>
      <w:pPr>
        <w:spacing w:before="20" w:after="20"/>
      </w:pPr>
      <w:r>
        <w:rPr>
          <w:rFonts w:ascii="Arial" w:hAnsi="Arial"/>
          <w:b/>
          <w:i w:val="0"/>
          <w:color w:val="000000"/>
          <w:sz w:val="18"/>
        </w:rPr>
        <w:t xml:space="preserve">Budgets and investment: </w:t>
      </w:r>
      <w:r>
        <w:rPr>
          <w:rFonts w:ascii="Arial" w:hAnsi="Arial"/>
          <w:b w:val="0"/>
          <w:i w:val="0"/>
          <w:color w:val="000000"/>
          <w:sz w:val="18"/>
        </w:rPr>
        <w:t>Managed marketing, media, and growth budgets from ~$500K to $30M+.</w:t>
      </w:r>
    </w:p>
    <w:p>
      <w:pPr>
        <w:spacing w:before="20" w:after="20"/>
      </w:pPr>
      <w:r>
        <w:rPr>
          <w:rFonts w:ascii="Arial" w:hAnsi="Arial"/>
          <w:b/>
          <w:i w:val="0"/>
          <w:color w:val="000000"/>
          <w:sz w:val="18"/>
        </w:rPr>
        <w:t xml:space="preserve">Team leadership: </w:t>
      </w:r>
      <w:r>
        <w:rPr>
          <w:rFonts w:ascii="Arial" w:hAnsi="Arial"/>
          <w:b w:val="0"/>
          <w:i w:val="0"/>
          <w:color w:val="000000"/>
          <w:sz w:val="18"/>
        </w:rPr>
        <w:t>Led and influenced teams up to 20 across strategy, analytics, media, creative, reporting, and execution.</w:t>
      </w:r>
    </w:p>
    <w:p>
      <w:pPr>
        <w:spacing w:before="20" w:after="20"/>
      </w:pPr>
      <w:r>
        <w:rPr>
          <w:rFonts w:ascii="Arial" w:hAnsi="Arial"/>
          <w:b/>
          <w:i w:val="0"/>
          <w:color w:val="000000"/>
          <w:sz w:val="18"/>
        </w:rPr>
        <w:t xml:space="preserve">Global scope: </w:t>
      </w:r>
      <w:r>
        <w:rPr>
          <w:rFonts w:ascii="Arial" w:hAnsi="Arial"/>
          <w:b w:val="0"/>
          <w:i w:val="0"/>
          <w:color w:val="000000"/>
          <w:sz w:val="18"/>
        </w:rPr>
        <w:t>Worked across North America, EMEA, APAC, and LATAM through enterprise, agency, and global client environments.</w:t>
      </w:r>
    </w:p>
    <w:p>
      <w:pPr>
        <w:spacing w:before="20" w:after="20"/>
      </w:pPr>
      <w:r>
        <w:rPr>
          <w:rFonts w:ascii="Arial" w:hAnsi="Arial"/>
          <w:b/>
          <w:i w:val="0"/>
          <w:color w:val="000000"/>
          <w:sz w:val="18"/>
        </w:rPr>
        <w:t xml:space="preserve">Channel scope: </w:t>
      </w:r>
      <w:r>
        <w:rPr>
          <w:rFonts w:ascii="Arial" w:hAnsi="Arial"/>
          <w:b w:val="0"/>
          <w:i w:val="0"/>
          <w:color w:val="000000"/>
          <w:sz w:val="18"/>
        </w:rPr>
        <w:t>Paid media, ABM, CRM, lifecycle, email, SEO, GEO/AEO, content, webinars, events, sponsorships, PR, thought leadership, community, B2G, B2B, B2C.</w:t>
      </w:r>
    </w:p>
    <w:p>
      <w:pPr>
        <w:spacing w:before="20" w:after="20"/>
      </w:pPr>
      <w:r>
        <w:rPr>
          <w:rFonts w:ascii="Arial" w:hAnsi="Arial"/>
          <w:b/>
          <w:i w:val="0"/>
          <w:color w:val="000000"/>
          <w:sz w:val="18"/>
        </w:rPr>
        <w:t xml:space="preserve">Stakeholder scope: </w:t>
      </w:r>
      <w:r>
        <w:rPr>
          <w:rFonts w:ascii="Arial" w:hAnsi="Arial"/>
          <w:b w:val="0"/>
          <w:i w:val="0"/>
          <w:color w:val="000000"/>
          <w:sz w:val="18"/>
        </w:rPr>
        <w:t>C-suite, product, sales, revenue, engineering, operations, legal, compliance, analytics, agencies, vendors, boards, trustees, sponsors, community organizations, government entities, chambers of commerce, media/PR partners.</w:t>
      </w:r>
    </w:p>
    <w:p>
      <w:pPr>
        <w:pBdr>
          <w:bottom w:val="single" w:sz="4" w:space="1" w:color="1F4E79"/>
        </w:pBdr>
        <w:spacing w:before="160" w:after="40"/>
      </w:pPr>
      <w:r>
        <w:rPr>
          <w:rFonts w:ascii="Arial" w:hAnsi="Arial"/>
          <w:b/>
          <w:i w:val="0"/>
          <w:color w:val="1F4E79"/>
          <w:sz w:val="20"/>
        </w:rPr>
        <w:t>CORE STRENGTHS</w:t>
      </w:r>
    </w:p>
    <w:p>
      <w:pPr>
        <w:spacing w:before="40" w:after="40"/>
      </w:pPr>
      <w:r>
        <w:rPr>
          <w:rFonts w:ascii="Arial" w:hAnsi="Arial"/>
          <w:b w:val="0"/>
          <w:i w:val="0"/>
          <w:color w:val="000000"/>
          <w:sz w:val="18"/>
        </w:rPr>
        <w:t>Integrated Marketing Strategy  |  Growth and Demand Generation  |  Go-to-Market Design  |  Vertical GTM  |  Positioning and Narrative  |  ABM  |  Lifecycle Marketing  |  Adobe CJA  |  Marketing Analytics  |  Quantitative Research  |  Performance Measurement  |  SEO / GEO / AEO  |  Paid Media  |  Sales Enablement  |  Sponsorship Activation  |  Community and Partnership  |  B2B / B2C / B2G  |  AI-Native Execution  |  Pain to Pipeline  |  Team Leadership  |  Agency Management</w:t>
      </w:r>
    </w:p>
    <w:p>
      <w:pPr>
        <w:pBdr>
          <w:bottom w:val="single" w:sz="4" w:space="1" w:color="1F4E79"/>
        </w:pBdr>
        <w:spacing w:before="160" w:after="40"/>
      </w:pPr>
      <w:r>
        <w:rPr>
          <w:rFonts w:ascii="Arial" w:hAnsi="Arial"/>
          <w:b/>
          <w:i w:val="0"/>
          <w:color w:val="1F4E79"/>
          <w:sz w:val="20"/>
        </w:rPr>
        <w:t>EXPERIENCE</w:t>
      </w:r>
    </w:p>
    <w:p>
      <w:pPr>
        <w:spacing w:before="120" w:after="20"/>
      </w:pPr>
      <w:r>
        <w:rPr>
          <w:rFonts w:ascii="Arial" w:hAnsi="Arial"/>
          <w:b/>
          <w:i w:val="0"/>
          <w:color w:val="1F4E79"/>
          <w:sz w:val="20"/>
        </w:rPr>
        <w:t>EFFICIENT IMPACT LLC</w:t>
      </w:r>
      <w:r>
        <w:rPr>
          <w:rFonts w:ascii="Arial" w:hAnsi="Arial"/>
          <w:b/>
          <w:i w:val="0"/>
          <w:color w:val="000000"/>
          <w:sz w:val="18"/>
        </w:rPr>
        <w:t xml:space="preserve">  |  Founder, Growth and Commercial Strategy</w:t>
      </w:r>
    </w:p>
    <w:p>
      <w:pPr>
        <w:spacing w:before="0" w:after="40"/>
      </w:pPr>
      <w:r>
        <w:rPr>
          <w:rFonts w:ascii="Arial" w:hAnsi="Arial"/>
          <w:b w:val="0"/>
          <w:i/>
          <w:color w:val="444444"/>
          <w:sz w:val="16"/>
        </w:rPr>
        <w:t>New York, NY  |  Jun 2023 – Present</w:t>
      </w:r>
    </w:p>
    <w:p>
      <w:pPr>
        <w:pStyle w:val="ListBullet"/>
        <w:spacing w:before="20" w:after="20"/>
        <w:ind w:left="360"/>
      </w:pPr>
      <w:r>
        <w:rPr>
          <w:rFonts w:ascii="Arial" w:hAnsi="Arial"/>
          <w:b w:val="0"/>
          <w:i w:val="0"/>
          <w:color w:val="000000"/>
          <w:sz w:val="18"/>
        </w:rPr>
        <w:t>Advise startups, service businesses, nonprofits, and community organizations on positioning, buyer messaging, analytics foundations, content strategy, ABM, and GTM execution.</w:t>
      </w:r>
    </w:p>
    <w:p>
      <w:pPr>
        <w:pStyle w:val="ListBullet"/>
        <w:spacing w:before="20" w:after="20"/>
        <w:ind w:left="360"/>
      </w:pPr>
      <w:r>
        <w:rPr>
          <w:rFonts w:ascii="Arial" w:hAnsi="Arial"/>
          <w:b w:val="0"/>
          <w:i w:val="0"/>
          <w:color w:val="000000"/>
          <w:sz w:val="18"/>
        </w:rPr>
        <w:t>Set up and improve website, Google Analytics, Google Ads, Adobe Analytics, channel tracking, SEO, email, and campaign reporting for clients across B2B, B2C, and nonprofit environments.</w:t>
      </w:r>
    </w:p>
    <w:p>
      <w:pPr>
        <w:pStyle w:val="ListBullet"/>
        <w:spacing w:before="20" w:after="20"/>
        <w:ind w:left="360"/>
      </w:pPr>
      <w:r>
        <w:rPr>
          <w:rFonts w:ascii="Arial" w:hAnsi="Arial"/>
          <w:b w:val="0"/>
          <w:i w:val="0"/>
          <w:color w:val="000000"/>
          <w:sz w:val="18"/>
        </w:rPr>
        <w:t>Use Adobe CJA, Adobe Analytics, Google Analytics, Google Ads, SEO, email, web, CRM, ABM, and campaign data to identify where users drop off, which channels convert, and what changes will drive measurable improvement.</w:t>
      </w:r>
    </w:p>
    <w:p>
      <w:pPr>
        <w:pStyle w:val="ListBullet"/>
        <w:spacing w:before="20" w:after="20"/>
        <w:ind w:left="360"/>
      </w:pPr>
      <w:r>
        <w:rPr>
          <w:rFonts w:ascii="Arial" w:hAnsi="Arial"/>
          <w:b w:val="0"/>
          <w:i w:val="0"/>
          <w:color w:val="000000"/>
          <w:sz w:val="18"/>
        </w:rPr>
        <w:t>Apply quantitative research, dashboard interpretation, controlled experiment design, and incrementality-oriented approaches to evaluate messaging, channel decisions, audience fit, and campaign performance.</w:t>
      </w:r>
    </w:p>
    <w:p>
      <w:pPr>
        <w:pStyle w:val="ListBullet"/>
        <w:spacing w:before="20" w:after="20"/>
        <w:ind w:left="360"/>
      </w:pPr>
      <w:r>
        <w:rPr>
          <w:rFonts w:ascii="Arial" w:hAnsi="Arial"/>
          <w:b w:val="0"/>
          <w:i w:val="0"/>
          <w:color w:val="000000"/>
          <w:sz w:val="18"/>
        </w:rPr>
        <w:t>Support ABM, lifecycle, and nurture planning by connecting audience behavior, account signals, content response, and CRM data to sales follow-up and prioritization.</w:t>
      </w:r>
    </w:p>
    <w:p>
      <w:pPr>
        <w:pStyle w:val="ListBullet"/>
        <w:spacing w:before="20" w:after="20"/>
        <w:ind w:left="360"/>
      </w:pPr>
      <w:r>
        <w:rPr>
          <w:rFonts w:ascii="Arial" w:hAnsi="Arial"/>
          <w:b w:val="0"/>
          <w:i w:val="0"/>
          <w:color w:val="000000"/>
          <w:sz w:val="18"/>
        </w:rPr>
        <w:t>Own client acquisition, pricing, cost management, revenue generation, scope definition, and relationship management across all client engagements.</w:t>
      </w:r>
    </w:p>
    <w:p>
      <w:pPr>
        <w:pStyle w:val="ListBullet"/>
        <w:spacing w:before="20" w:after="20"/>
        <w:ind w:left="360"/>
      </w:pPr>
      <w:r>
        <w:rPr>
          <w:rFonts w:ascii="Arial" w:hAnsi="Arial"/>
          <w:b w:val="0"/>
          <w:i w:val="0"/>
          <w:color w:val="000000"/>
          <w:sz w:val="18"/>
        </w:rPr>
        <w:t>Use AI for research, synthesis, content development, message testing, workflow design, and performance interpretation to deliver more output with leaner resources.</w:t>
      </w:r>
    </w:p>
    <w:p>
      <w:pPr>
        <w:pStyle w:val="ListBullet"/>
        <w:spacing w:before="20" w:after="20"/>
        <w:ind w:left="360"/>
      </w:pPr>
      <w:r>
        <w:rPr>
          <w:rFonts w:ascii="Arial" w:hAnsi="Arial"/>
          <w:b w:val="0"/>
          <w:i w:val="0"/>
          <w:color w:val="000000"/>
          <w:sz w:val="18"/>
        </w:rPr>
        <w:t>Improved client organic growth ~70% and brand engagement ~50% through integrated marketing execution and AI-native workflow design.</w:t>
      </w:r>
    </w:p>
    <w:p>
      <w:pPr>
        <w:spacing w:before="120" w:after="20"/>
      </w:pPr>
      <w:r>
        <w:rPr>
          <w:rFonts w:ascii="Arial" w:hAnsi="Arial"/>
          <w:b/>
          <w:i w:val="0"/>
          <w:color w:val="1F4E79"/>
          <w:sz w:val="20"/>
        </w:rPr>
        <w:t>INSTNT</w:t>
      </w:r>
      <w:r>
        <w:rPr>
          <w:rFonts w:ascii="Arial" w:hAnsi="Arial"/>
          <w:b/>
          <w:i w:val="0"/>
          <w:color w:val="000000"/>
          <w:sz w:val="18"/>
        </w:rPr>
        <w:t xml:space="preserve">  |  Head of Marketing, Revenue and GTM</w:t>
      </w:r>
    </w:p>
    <w:p>
      <w:pPr>
        <w:spacing w:before="0" w:after="40"/>
      </w:pPr>
      <w:r>
        <w:rPr>
          <w:rFonts w:ascii="Arial" w:hAnsi="Arial"/>
          <w:b w:val="0"/>
          <w:i/>
          <w:color w:val="444444"/>
          <w:sz w:val="16"/>
        </w:rPr>
        <w:t>New York, NY  |  Dec 2024 – Dec 2025</w:t>
      </w:r>
    </w:p>
    <w:p>
      <w:pPr>
        <w:pStyle w:val="ListBullet"/>
        <w:spacing w:before="20" w:after="20"/>
        <w:ind w:left="360"/>
      </w:pPr>
      <w:r>
        <w:rPr>
          <w:rFonts w:ascii="Arial" w:hAnsi="Arial"/>
          <w:b w:val="0"/>
          <w:i w:val="0"/>
          <w:color w:val="000000"/>
          <w:sz w:val="18"/>
        </w:rPr>
        <w:t>Led global GTM for an AI-powered identity fraud loss insurance platform serving financial institutions — shaping positioning, narrative, ICP, and go-to-market strategy around fraud loss, compliance risk, and financial institution trust dynamics.</w:t>
      </w:r>
    </w:p>
    <w:p>
      <w:pPr>
        <w:pStyle w:val="ListBullet"/>
        <w:spacing w:before="20" w:after="20"/>
        <w:ind w:left="360"/>
      </w:pPr>
      <w:r>
        <w:rPr>
          <w:rFonts w:ascii="Arial" w:hAnsi="Arial"/>
          <w:b w:val="0"/>
          <w:i w:val="0"/>
          <w:color w:val="000000"/>
          <w:sz w:val="18"/>
        </w:rPr>
        <w:t>Built marketing programs across web, content, webinars, lifecycle, ABM, events, paid social, LinkedIn, remarketing, PR, thought leadership, and outbound to drive pipeline and brand visibility in a regulated fintech market.</w:t>
      </w:r>
    </w:p>
    <w:p>
      <w:pPr>
        <w:pStyle w:val="ListBullet"/>
        <w:spacing w:before="20" w:after="20"/>
        <w:ind w:left="360"/>
      </w:pPr>
      <w:r>
        <w:rPr>
          <w:rFonts w:ascii="Arial" w:hAnsi="Arial"/>
          <w:b w:val="0"/>
          <w:i w:val="0"/>
          <w:color w:val="000000"/>
          <w:sz w:val="18"/>
        </w:rPr>
        <w:t>Built and owned the marketing analytics function as the sole operator — Adobe CJA, Adobe Marketing Analytics, Google Analytics, and Google Ads — defining measurement needs, KPI architecture, vendor coordination, and reporting interpretation.</w:t>
      </w:r>
    </w:p>
    <w:p>
      <w:pPr>
        <w:pStyle w:val="ListBullet"/>
        <w:spacing w:before="20" w:after="20"/>
        <w:ind w:left="360"/>
      </w:pPr>
      <w:r>
        <w:rPr>
          <w:rFonts w:ascii="Arial" w:hAnsi="Arial"/>
          <w:b w:val="0"/>
          <w:i w:val="0"/>
          <w:color w:val="000000"/>
          <w:sz w:val="18"/>
        </w:rPr>
        <w:t>Used Adobe CJA, Adobe Marketing Analytics, Google Analytics, Google Ads, campaign performance, audience research, and organic signals to shape content, channel, and campaign decisions.</w:t>
      </w:r>
    </w:p>
    <w:p>
      <w:pPr>
        <w:pStyle w:val="ListBullet"/>
        <w:spacing w:before="20" w:after="20"/>
        <w:ind w:left="360"/>
      </w:pPr>
      <w:r>
        <w:rPr>
          <w:rFonts w:ascii="Arial" w:hAnsi="Arial"/>
          <w:b w:val="0"/>
          <w:i w:val="0"/>
          <w:color w:val="000000"/>
          <w:sz w:val="18"/>
        </w:rPr>
        <w:t>Ran incrementality-oriented experiments across content formats, audience segments, and channel mix — applying controlled experiment logic and regression-based analysis to identify cause-and-effect relationships and guide investment.</w:t>
      </w:r>
    </w:p>
    <w:p>
      <w:pPr>
        <w:pStyle w:val="ListBullet"/>
        <w:spacing w:before="20" w:after="20"/>
        <w:ind w:left="360"/>
      </w:pPr>
      <w:r>
        <w:rPr>
          <w:rFonts w:ascii="Arial" w:hAnsi="Arial"/>
          <w:b w:val="0"/>
          <w:i w:val="0"/>
          <w:color w:val="000000"/>
          <w:sz w:val="18"/>
        </w:rPr>
        <w:t>Created ABM and lifecycle nurture paths that helped sales prioritize engaged financial institution accounts and continue the conversation after initial content engagement.</w:t>
      </w:r>
    </w:p>
    <w:p>
      <w:pPr>
        <w:pStyle w:val="ListBullet"/>
        <w:spacing w:before="20" w:after="20"/>
        <w:ind w:left="360"/>
      </w:pPr>
      <w:r>
        <w:rPr>
          <w:rFonts w:ascii="Arial" w:hAnsi="Arial"/>
          <w:b w:val="0"/>
          <w:i w:val="0"/>
          <w:color w:val="000000"/>
          <w:sz w:val="18"/>
        </w:rPr>
        <w:t>Managed ~$1M in marketing investment across paid media, content, events, lifecycle, webinars, agencies, and GTM execution.</w:t>
      </w:r>
    </w:p>
    <w:p>
      <w:pPr>
        <w:pStyle w:val="ListBullet"/>
        <w:spacing w:before="20" w:after="20"/>
        <w:ind w:left="360"/>
      </w:pPr>
      <w:r>
        <w:rPr>
          <w:rFonts w:ascii="Arial" w:hAnsi="Arial"/>
          <w:b w:val="0"/>
          <w:i w:val="0"/>
          <w:color w:val="000000"/>
          <w:sz w:val="18"/>
        </w:rPr>
        <w:t>Improved engaged sessions ~17%, engagement rate ~20%, and qualified content downloads to ~45 per month at ~half prior CPC; generated ~5.9M impressions in first six months.</w:t>
      </w:r>
    </w:p>
    <w:p>
      <w:pPr>
        <w:pStyle w:val="ListBullet"/>
        <w:spacing w:before="20" w:after="20"/>
        <w:ind w:left="360"/>
      </w:pPr>
      <w:r>
        <w:rPr>
          <w:rFonts w:ascii="Arial" w:hAnsi="Arial"/>
          <w:b w:val="0"/>
          <w:i w:val="0"/>
          <w:color w:val="000000"/>
          <w:sz w:val="18"/>
        </w:rPr>
        <w:t>Worked with sales, executives, legal, and compliance to refine ICP, vertical focus, buyer-facing messaging, enterprise deal support, and go-to-market prioritization.</w:t>
      </w:r>
    </w:p>
    <w:p>
      <w:pPr>
        <w:pStyle w:val="ListBullet"/>
        <w:spacing w:before="20" w:after="20"/>
        <w:ind w:left="360"/>
      </w:pPr>
      <w:r>
        <w:rPr>
          <w:rFonts w:ascii="Arial" w:hAnsi="Arial"/>
          <w:b w:val="0"/>
          <w:i w:val="0"/>
          <w:color w:val="000000"/>
          <w:sz w:val="18"/>
        </w:rPr>
        <w:t>Supported thought leadership, PR, case studies, webinars, and executive visibility in a trust-sensitive AI and fintech category.</w:t>
      </w:r>
    </w:p>
    <w:p>
      <w:pPr>
        <w:spacing w:before="120" w:after="20"/>
      </w:pPr>
      <w:r>
        <w:rPr>
          <w:rFonts w:ascii="Arial" w:hAnsi="Arial"/>
          <w:b/>
          <w:i w:val="0"/>
          <w:color w:val="1F4E79"/>
          <w:sz w:val="20"/>
        </w:rPr>
        <w:t>STEIN IAS</w:t>
      </w:r>
      <w:r>
        <w:rPr>
          <w:rFonts w:ascii="Arial" w:hAnsi="Arial"/>
          <w:b/>
          <w:i w:val="0"/>
          <w:color w:val="000000"/>
          <w:sz w:val="18"/>
        </w:rPr>
        <w:t xml:space="preserve">  |  B2B GTM and Media Director</w:t>
      </w:r>
    </w:p>
    <w:p>
      <w:pPr>
        <w:spacing w:before="0" w:after="40"/>
      </w:pPr>
      <w:r>
        <w:rPr>
          <w:rFonts w:ascii="Arial" w:hAnsi="Arial"/>
          <w:b w:val="0"/>
          <w:i/>
          <w:color w:val="444444"/>
          <w:sz w:val="16"/>
        </w:rPr>
        <w:t>New York, NY  |  Aug 2023 – Feb 2024</w:t>
      </w:r>
    </w:p>
    <w:p>
      <w:pPr>
        <w:pStyle w:val="ListBullet"/>
        <w:spacing w:before="20" w:after="20"/>
        <w:ind w:left="360"/>
      </w:pPr>
      <w:r>
        <w:rPr>
          <w:rFonts w:ascii="Arial" w:hAnsi="Arial"/>
          <w:b w:val="0"/>
          <w:i w:val="0"/>
          <w:color w:val="000000"/>
          <w:sz w:val="18"/>
        </w:rPr>
        <w:t>Developed audience, segment, launch, and media strategies for clients across finance, CPG, education, climate technology, and B2B SaaS — aligning content, channel, and ABM priorities to pipeline and revenue goals.</w:t>
      </w:r>
    </w:p>
    <w:p>
      <w:pPr>
        <w:pStyle w:val="ListBullet"/>
        <w:spacing w:before="20" w:after="20"/>
        <w:ind w:left="360"/>
      </w:pPr>
      <w:r>
        <w:rPr>
          <w:rFonts w:ascii="Arial" w:hAnsi="Arial"/>
          <w:b w:val="0"/>
          <w:i w:val="0"/>
          <w:color w:val="000000"/>
          <w:sz w:val="18"/>
        </w:rPr>
        <w:t>Managed media strategy and planning across client budgets of ~$2M to $5M, aligning audience priorities, creative, web performance, and downstream conversion to investment decisions.</w:t>
      </w:r>
    </w:p>
    <w:p>
      <w:pPr>
        <w:pStyle w:val="ListBullet"/>
        <w:spacing w:before="20" w:after="20"/>
        <w:ind w:left="360"/>
      </w:pPr>
      <w:r>
        <w:rPr>
          <w:rFonts w:ascii="Arial" w:hAnsi="Arial"/>
          <w:b w:val="0"/>
          <w:i w:val="0"/>
          <w:color w:val="000000"/>
          <w:sz w:val="18"/>
        </w:rPr>
        <w:t>Used Adobe CJA, Adobe Analytics, Adobe Marketing Analytics, and Google Analytics to connect audience behavior, channel performance, and campaign data to investment decisions and go-to-market strategy.</w:t>
      </w:r>
    </w:p>
    <w:p>
      <w:pPr>
        <w:pStyle w:val="ListBullet"/>
        <w:spacing w:before="20" w:after="20"/>
        <w:ind w:left="360"/>
      </w:pPr>
      <w:r>
        <w:rPr>
          <w:rFonts w:ascii="Arial" w:hAnsi="Arial"/>
          <w:b w:val="0"/>
          <w:i w:val="0"/>
          <w:color w:val="000000"/>
          <w:sz w:val="18"/>
        </w:rPr>
        <w:t>Built ABM measurement and nurture frameworks helping sales teams identify priority accounts, understand engagement signals, and prioritize follow-up.</w:t>
      </w:r>
    </w:p>
    <w:p>
      <w:pPr>
        <w:pStyle w:val="ListBullet"/>
        <w:spacing w:before="20" w:after="20"/>
        <w:ind w:left="360"/>
      </w:pPr>
      <w:r>
        <w:rPr>
          <w:rFonts w:ascii="Arial" w:hAnsi="Arial"/>
          <w:b w:val="0"/>
          <w:i w:val="0"/>
          <w:color w:val="000000"/>
          <w:sz w:val="18"/>
        </w:rPr>
        <w:t>Increased ABM audience engagement ~20% through sharper account prioritization and coordinated planning across media, sales, lifecycle, and content.</w:t>
      </w:r>
    </w:p>
    <w:p>
      <w:pPr>
        <w:pStyle w:val="ListBullet"/>
        <w:spacing w:before="20" w:after="20"/>
        <w:ind w:left="360"/>
      </w:pPr>
      <w:r>
        <w:rPr>
          <w:rFonts w:ascii="Arial" w:hAnsi="Arial"/>
          <w:b w:val="0"/>
          <w:i w:val="0"/>
          <w:color w:val="000000"/>
          <w:sz w:val="18"/>
        </w:rPr>
        <w:t>Built reporting structures spanning media, creative, web, CRM, engagement, acquisition, and downstream performance so client teams could make faster, better-informed decisions.</w:t>
      </w:r>
    </w:p>
    <w:p>
      <w:pPr>
        <w:pStyle w:val="ListBullet"/>
        <w:spacing w:before="20" w:after="20"/>
        <w:ind w:left="360"/>
      </w:pPr>
      <w:r>
        <w:rPr>
          <w:rFonts w:ascii="Arial" w:hAnsi="Arial"/>
          <w:b w:val="0"/>
          <w:i w:val="0"/>
          <w:color w:val="000000"/>
          <w:sz w:val="18"/>
        </w:rPr>
        <w:t>Applied A/B test design, controlled experiment logic, lift and incrementality frameworks, and MMM/econometric concepts to help clients evaluate attribution and channel contribution more accurately.</w:t>
      </w:r>
    </w:p>
    <w:p>
      <w:pPr>
        <w:pStyle w:val="ListBullet"/>
        <w:spacing w:before="20" w:after="20"/>
        <w:ind w:left="360"/>
      </w:pPr>
      <w:r>
        <w:rPr>
          <w:rFonts w:ascii="Arial" w:hAnsi="Arial"/>
          <w:b w:val="0"/>
          <w:i w:val="0"/>
          <w:color w:val="000000"/>
          <w:sz w:val="18"/>
        </w:rPr>
        <w:t>Supported PR, thought leadership, brand credibility, and demand generation across complex B2B, climate, finance, and education environments.</w:t>
      </w:r>
    </w:p>
    <w:p>
      <w:pPr>
        <w:pStyle w:val="ListBullet"/>
        <w:spacing w:before="20" w:after="20"/>
        <w:ind w:left="360"/>
      </w:pPr>
      <w:r>
        <w:rPr>
          <w:rFonts w:ascii="Arial" w:hAnsi="Arial"/>
          <w:b w:val="0"/>
          <w:i w:val="0"/>
          <w:color w:val="000000"/>
          <w:sz w:val="18"/>
        </w:rPr>
        <w:t>Operated within the MSQ agency network — building familiarity with the network's operating model, cross-agency collaboration, and integrated service delivery.</w:t>
      </w:r>
    </w:p>
    <w:p>
      <w:pPr>
        <w:spacing w:before="120" w:after="20"/>
      </w:pPr>
      <w:r>
        <w:rPr>
          <w:rFonts w:ascii="Arial" w:hAnsi="Arial"/>
          <w:b/>
          <w:i w:val="0"/>
          <w:color w:val="1F4E79"/>
          <w:sz w:val="20"/>
        </w:rPr>
        <w:t>ESSENCEMEDIACOM</w:t>
      </w:r>
      <w:r>
        <w:rPr>
          <w:rFonts w:ascii="Arial" w:hAnsi="Arial"/>
          <w:b/>
          <w:i w:val="0"/>
          <w:color w:val="000000"/>
          <w:sz w:val="18"/>
        </w:rPr>
        <w:t xml:space="preserve">  |  Global B2B Integrated Strategy Director</w:t>
      </w:r>
    </w:p>
    <w:p>
      <w:pPr>
        <w:spacing w:before="0" w:after="40"/>
      </w:pPr>
      <w:r>
        <w:rPr>
          <w:rFonts w:ascii="Arial" w:hAnsi="Arial"/>
          <w:b w:val="0"/>
          <w:i/>
          <w:color w:val="444444"/>
          <w:sz w:val="16"/>
        </w:rPr>
        <w:t>New York, NY  |  Mar 2022 – Aug 2023</w:t>
      </w:r>
    </w:p>
    <w:p>
      <w:pPr>
        <w:pStyle w:val="ListBullet"/>
        <w:spacing w:before="20" w:after="20"/>
        <w:ind w:left="360"/>
      </w:pPr>
      <w:r>
        <w:rPr>
          <w:rFonts w:ascii="Arial" w:hAnsi="Arial"/>
          <w:b w:val="0"/>
          <w:i w:val="0"/>
          <w:color w:val="000000"/>
          <w:sz w:val="18"/>
        </w:rPr>
        <w:t>Led global B2B strategy for Dell, VMware, Walgreens, Citizens Bank, Kraft Heinz, and other enterprise clients — aligning audience, messaging, ABM, media investment, analytics, and sales enablement to commercial outcomes across Americas, EMEA, APAC, and LATAM.</w:t>
      </w:r>
    </w:p>
    <w:p>
      <w:pPr>
        <w:pStyle w:val="ListBullet"/>
        <w:spacing w:before="20" w:after="20"/>
        <w:ind w:left="360"/>
      </w:pPr>
      <w:r>
        <w:rPr>
          <w:rFonts w:ascii="Arial" w:hAnsi="Arial"/>
          <w:b w:val="0"/>
          <w:i w:val="0"/>
          <w:color w:val="000000"/>
          <w:sz w:val="18"/>
        </w:rPr>
        <w:t>Navigated programmatic, investment, digital, video, and activation teams inside agency holding company structures — coordinating across 20+ team members in strategy, analytics, media, and creative.</w:t>
      </w:r>
    </w:p>
    <w:p>
      <w:pPr>
        <w:pStyle w:val="ListBullet"/>
        <w:spacing w:before="20" w:after="20"/>
        <w:ind w:left="360"/>
      </w:pPr>
      <w:r>
        <w:rPr>
          <w:rFonts w:ascii="Arial" w:hAnsi="Arial"/>
          <w:b w:val="0"/>
          <w:i w:val="0"/>
          <w:color w:val="000000"/>
          <w:sz w:val="18"/>
        </w:rPr>
        <w:t>Managed media budgets up to ~$30M per account and led teams up to 20 across strategy, analytics, media, and creative disciplines.</w:t>
      </w:r>
    </w:p>
    <w:p>
      <w:pPr>
        <w:pStyle w:val="ListBullet"/>
        <w:spacing w:before="20" w:after="20"/>
        <w:ind w:left="360"/>
      </w:pPr>
      <w:r>
        <w:rPr>
          <w:rFonts w:ascii="Arial" w:hAnsi="Arial"/>
          <w:b w:val="0"/>
          <w:i w:val="0"/>
          <w:color w:val="000000"/>
          <w:sz w:val="18"/>
        </w:rPr>
        <w:t>Used and helped operationalize Adobe Analytics, Adobe CJA, Adobe Marketing Analytics, and Google Analytics across enterprise client environments — building KPI frameworks, attribution logic, measurement standards, and reporting cadences.</w:t>
      </w:r>
    </w:p>
    <w:p>
      <w:pPr>
        <w:pStyle w:val="ListBullet"/>
        <w:spacing w:before="20" w:after="20"/>
        <w:ind w:left="360"/>
      </w:pPr>
      <w:r>
        <w:rPr>
          <w:rFonts w:ascii="Arial" w:hAnsi="Arial"/>
          <w:b w:val="0"/>
          <w:i w:val="0"/>
          <w:color w:val="000000"/>
          <w:sz w:val="18"/>
        </w:rPr>
        <w:t>Worked with analytics and media stakeholders on MMM and econometric framework application, regression-based analysis, time series review, and controlled testing to evaluate attribution and channel contribution.</w:t>
      </w:r>
    </w:p>
    <w:p>
      <w:pPr>
        <w:pStyle w:val="ListBullet"/>
        <w:spacing w:before="20" w:after="20"/>
        <w:ind w:left="360"/>
      </w:pPr>
      <w:r>
        <w:rPr>
          <w:rFonts w:ascii="Arial" w:hAnsi="Arial"/>
          <w:b w:val="0"/>
          <w:i w:val="0"/>
          <w:color w:val="000000"/>
          <w:sz w:val="18"/>
        </w:rPr>
        <w:t>Helped enterprise teams connect account engagement, content performance, media response, and funnel movement to improve pipeline contribution and sales alignment.</w:t>
      </w:r>
    </w:p>
    <w:p>
      <w:pPr>
        <w:pStyle w:val="ListBullet"/>
        <w:spacing w:before="20" w:after="20"/>
        <w:ind w:left="360"/>
      </w:pPr>
      <w:r>
        <w:rPr>
          <w:rFonts w:ascii="Arial" w:hAnsi="Arial"/>
          <w:b w:val="0"/>
          <w:i w:val="0"/>
          <w:color w:val="000000"/>
          <w:sz w:val="18"/>
        </w:rPr>
        <w:t>Improved commercial efficiency ~25% by connecting audience strategy, messaging, media investment, performance insight, and sales alignment into a coordinated growth motion.</w:t>
      </w:r>
    </w:p>
    <w:p>
      <w:pPr>
        <w:pStyle w:val="ListBullet"/>
        <w:spacing w:before="20" w:after="20"/>
        <w:ind w:left="360"/>
      </w:pPr>
      <w:r>
        <w:rPr>
          <w:rFonts w:ascii="Arial" w:hAnsi="Arial"/>
          <w:b w:val="0"/>
          <w:i w:val="0"/>
          <w:color w:val="000000"/>
          <w:sz w:val="18"/>
        </w:rPr>
        <w:t>Managed analytics vendor and platform partner relationships to align delivery with measurement roadmap, budget, quality standards, and client expectations.</w:t>
      </w:r>
    </w:p>
    <w:p>
      <w:pPr>
        <w:pStyle w:val="ListBullet"/>
        <w:spacing w:before="20" w:after="20"/>
        <w:ind w:left="360"/>
      </w:pPr>
      <w:r>
        <w:rPr>
          <w:rFonts w:ascii="Arial" w:hAnsi="Arial"/>
          <w:b w:val="0"/>
          <w:i w:val="0"/>
          <w:color w:val="000000"/>
          <w:sz w:val="18"/>
        </w:rPr>
        <w:t>Supported global and regional planning across enterprise technology, financial services, healthcare and pharmacy, retail, and CPG verticals.</w:t>
      </w:r>
    </w:p>
    <w:p>
      <w:pPr>
        <w:spacing w:before="120" w:after="20"/>
      </w:pPr>
      <w:r>
        <w:rPr>
          <w:rFonts w:ascii="Arial" w:hAnsi="Arial"/>
          <w:b/>
          <w:i w:val="0"/>
          <w:color w:val="1F4E79"/>
          <w:sz w:val="20"/>
        </w:rPr>
        <w:t>NEUGROUP</w:t>
      </w:r>
      <w:r>
        <w:rPr>
          <w:rFonts w:ascii="Arial" w:hAnsi="Arial"/>
          <w:b/>
          <w:i w:val="0"/>
          <w:color w:val="000000"/>
          <w:sz w:val="18"/>
        </w:rPr>
        <w:t xml:space="preserve">  |  Director of Marketing</w:t>
      </w:r>
    </w:p>
    <w:p>
      <w:pPr>
        <w:spacing w:before="0" w:after="40"/>
      </w:pPr>
      <w:r>
        <w:rPr>
          <w:rFonts w:ascii="Arial" w:hAnsi="Arial"/>
          <w:b w:val="0"/>
          <w:i/>
          <w:color w:val="444444"/>
          <w:sz w:val="16"/>
        </w:rPr>
        <w:t>New York, NY  |  Dec 2020 – Mar 2022</w:t>
      </w:r>
    </w:p>
    <w:p>
      <w:pPr>
        <w:pStyle w:val="ListBullet"/>
        <w:spacing w:before="20" w:after="20"/>
        <w:ind w:left="360"/>
      </w:pPr>
      <w:r>
        <w:rPr>
          <w:rFonts w:ascii="Arial" w:hAnsi="Arial"/>
          <w:b w:val="0"/>
          <w:i w:val="0"/>
          <w:color w:val="000000"/>
          <w:sz w:val="18"/>
        </w:rPr>
        <w:t>Led marketing and digital transformation for a global finance membership and events business — improving how treasury and finance executives discovered, engaged with, and participated in the NeuGroup community.</w:t>
      </w:r>
    </w:p>
    <w:p>
      <w:pPr>
        <w:pStyle w:val="ListBullet"/>
        <w:spacing w:before="20" w:after="20"/>
        <w:ind w:left="360"/>
      </w:pPr>
      <w:r>
        <w:rPr>
          <w:rFonts w:ascii="Arial" w:hAnsi="Arial"/>
          <w:b w:val="0"/>
          <w:i w:val="0"/>
          <w:color w:val="000000"/>
          <w:sz w:val="18"/>
        </w:rPr>
        <w:t>Built analytics infrastructure using Adobe CJA, Adobe Analytics, and Google Analytics — tracking member engagement, content consumption, event participation, sponsor value, and conversion paths.</w:t>
      </w:r>
    </w:p>
    <w:p>
      <w:pPr>
        <w:pStyle w:val="ListBullet"/>
        <w:spacing w:before="20" w:after="20"/>
        <w:ind w:left="360"/>
      </w:pPr>
      <w:r>
        <w:rPr>
          <w:rFonts w:ascii="Arial" w:hAnsi="Arial"/>
          <w:b w:val="0"/>
          <w:i w:val="0"/>
          <w:color w:val="000000"/>
          <w:sz w:val="18"/>
        </w:rPr>
        <w:t>Used time series analysis, controlled testing, and regression-informed performance review to understand member engagement, event demand, content performance, and sponsor value.</w:t>
      </w:r>
    </w:p>
    <w:p>
      <w:pPr>
        <w:pStyle w:val="ListBullet"/>
        <w:spacing w:before="20" w:after="20"/>
        <w:ind w:left="360"/>
      </w:pPr>
      <w:r>
        <w:rPr>
          <w:rFonts w:ascii="Arial" w:hAnsi="Arial"/>
          <w:b w:val="0"/>
          <w:i w:val="0"/>
          <w:color w:val="000000"/>
          <w:sz w:val="18"/>
        </w:rPr>
        <w:t>Translated stakeholder needs across marketing, events, sales, operations, legal, compliance, sponsors, and members into practical priorities, workflows, and execution plans.</w:t>
      </w:r>
    </w:p>
    <w:p>
      <w:pPr>
        <w:pStyle w:val="ListBullet"/>
        <w:spacing w:before="20" w:after="20"/>
        <w:ind w:left="360"/>
      </w:pPr>
      <w:r>
        <w:rPr>
          <w:rFonts w:ascii="Arial" w:hAnsi="Arial"/>
          <w:b w:val="0"/>
          <w:i w:val="0"/>
          <w:color w:val="000000"/>
          <w:sz w:val="18"/>
        </w:rPr>
        <w:t>Improved web traffic ~85%, conversions ~18%, and campaign speed ~30% through clearer journeys, stronger content, analytics infrastructure improvements, and measurement alignment.</w:t>
      </w:r>
    </w:p>
    <w:p>
      <w:pPr>
        <w:pStyle w:val="ListBullet"/>
        <w:spacing w:before="20" w:after="20"/>
        <w:ind w:left="360"/>
      </w:pPr>
      <w:r>
        <w:rPr>
          <w:rFonts w:ascii="Arial" w:hAnsi="Arial"/>
          <w:b w:val="0"/>
          <w:i w:val="0"/>
          <w:color w:val="000000"/>
          <w:sz w:val="18"/>
        </w:rPr>
        <w:t>Built nurture and engagement paths converting interest from finance executives into event participation, membership, and sponsor connections.</w:t>
      </w:r>
    </w:p>
    <w:p>
      <w:pPr>
        <w:pStyle w:val="ListBullet"/>
        <w:spacing w:before="20" w:after="20"/>
        <w:ind w:left="360"/>
      </w:pPr>
      <w:r>
        <w:rPr>
          <w:rFonts w:ascii="Arial" w:hAnsi="Arial"/>
          <w:b w:val="0"/>
          <w:i w:val="0"/>
          <w:color w:val="000000"/>
          <w:sz w:val="18"/>
        </w:rPr>
        <w:t>Strengthened sponsorship, member, and executive alignment through clearer communications, content strategy, event promotion, and reporting infrastructure.</w:t>
      </w:r>
    </w:p>
    <w:p>
      <w:pPr>
        <w:pStyle w:val="ListBullet"/>
        <w:spacing w:before="20" w:after="20"/>
        <w:ind w:left="360"/>
      </w:pPr>
      <w:r>
        <w:rPr>
          <w:rFonts w:ascii="Arial" w:hAnsi="Arial"/>
          <w:b w:val="0"/>
          <w:i w:val="0"/>
          <w:color w:val="000000"/>
          <w:sz w:val="18"/>
        </w:rPr>
        <w:t>Partnered with legal and compliance stakeholders to support accurate communications, event workflows, member access, and sponsor-facing materials.</w:t>
      </w:r>
    </w:p>
    <w:p>
      <w:pPr>
        <w:spacing w:before="120" w:after="20"/>
      </w:pPr>
      <w:r>
        <w:rPr>
          <w:rFonts w:ascii="Arial" w:hAnsi="Arial"/>
          <w:b/>
          <w:i w:val="0"/>
          <w:color w:val="1F4E79"/>
          <w:sz w:val="20"/>
        </w:rPr>
        <w:t>ICREON</w:t>
      </w:r>
      <w:r>
        <w:rPr>
          <w:rFonts w:ascii="Arial" w:hAnsi="Arial"/>
          <w:b/>
          <w:i w:val="0"/>
          <w:color w:val="000000"/>
          <w:sz w:val="18"/>
        </w:rPr>
        <w:t xml:space="preserve">  |  Director of Marketing, Demand Generation</w:t>
      </w:r>
    </w:p>
    <w:p>
      <w:pPr>
        <w:spacing w:before="0" w:after="40"/>
      </w:pPr>
      <w:r>
        <w:rPr>
          <w:rFonts w:ascii="Arial" w:hAnsi="Arial"/>
          <w:b w:val="0"/>
          <w:i/>
          <w:color w:val="444444"/>
          <w:sz w:val="16"/>
        </w:rPr>
        <w:t>New York, NY  |  May 2020 – Dec 2020</w:t>
      </w:r>
    </w:p>
    <w:p>
      <w:pPr>
        <w:pStyle w:val="ListBullet"/>
        <w:spacing w:before="20" w:after="20"/>
        <w:ind w:left="360"/>
      </w:pPr>
      <w:r>
        <w:rPr>
          <w:rFonts w:ascii="Arial" w:hAnsi="Arial"/>
          <w:b w:val="0"/>
          <w:i w:val="0"/>
          <w:color w:val="000000"/>
          <w:sz w:val="18"/>
        </w:rPr>
        <w:t>Led demand generation for a digital transformation consultancy focused on enterprise web, SaaS implementation, Shopify Plus, platform modernization, and technology services.</w:t>
      </w:r>
    </w:p>
    <w:p>
      <w:pPr>
        <w:pStyle w:val="ListBullet"/>
        <w:spacing w:before="20" w:after="20"/>
        <w:ind w:left="360"/>
      </w:pPr>
      <w:r>
        <w:rPr>
          <w:rFonts w:ascii="Arial" w:hAnsi="Arial"/>
          <w:b w:val="0"/>
          <w:i w:val="0"/>
          <w:color w:val="000000"/>
          <w:sz w:val="18"/>
        </w:rPr>
        <w:t>Built performance analytics frameworks using Adobe CJA, Adobe Marketing Analytics, Google Analytics, and Google Ads — integrating paid media, audience segmentation, landing page behavior, and lead quality into a connected measurement system.</w:t>
      </w:r>
    </w:p>
    <w:p>
      <w:pPr>
        <w:pStyle w:val="ListBullet"/>
        <w:spacing w:before="20" w:after="20"/>
        <w:ind w:left="360"/>
      </w:pPr>
      <w:r>
        <w:rPr>
          <w:rFonts w:ascii="Arial" w:hAnsi="Arial"/>
          <w:b w:val="0"/>
          <w:i w:val="0"/>
          <w:color w:val="000000"/>
          <w:sz w:val="18"/>
        </w:rPr>
        <w:t>Designed A/B and controlled tests across paid media, landing pages, audience segments, and nurture paths — applying lift and incrementality logic to evaluate campaign contribution.</w:t>
      </w:r>
    </w:p>
    <w:p>
      <w:pPr>
        <w:pStyle w:val="ListBullet"/>
        <w:spacing w:before="20" w:after="20"/>
        <w:ind w:left="360"/>
      </w:pPr>
      <w:r>
        <w:rPr>
          <w:rFonts w:ascii="Arial" w:hAnsi="Arial"/>
          <w:b w:val="0"/>
          <w:i w:val="0"/>
          <w:color w:val="000000"/>
          <w:sz w:val="18"/>
        </w:rPr>
        <w:t>Created campaign and nurture paths connecting content engagement to sales follow-up and demand generation priorities.</w:t>
      </w:r>
    </w:p>
    <w:p>
      <w:pPr>
        <w:pStyle w:val="ListBullet"/>
        <w:spacing w:before="20" w:after="20"/>
        <w:ind w:left="360"/>
      </w:pPr>
      <w:r>
        <w:rPr>
          <w:rFonts w:ascii="Arial" w:hAnsi="Arial"/>
          <w:b w:val="0"/>
          <w:i w:val="0"/>
          <w:color w:val="000000"/>
          <w:sz w:val="18"/>
        </w:rPr>
        <w:t>Reduced CPC ~43% through stronger audience, channel, and campaign decisions while building KPI frameworks linked to leads and opportunities.</w:t>
      </w:r>
    </w:p>
    <w:p>
      <w:pPr>
        <w:pStyle w:val="ListBullet"/>
        <w:spacing w:before="20" w:after="20"/>
        <w:ind w:left="360"/>
      </w:pPr>
      <w:r>
        <w:rPr>
          <w:rFonts w:ascii="Arial" w:hAnsi="Arial"/>
          <w:b w:val="0"/>
          <w:i w:val="0"/>
          <w:color w:val="000000"/>
          <w:sz w:val="18"/>
        </w:rPr>
        <w:t>Supported sales and leadership with reporting, insights, audience recommendations, and performance interpretation.</w:t>
      </w:r>
    </w:p>
    <w:p>
      <w:pPr>
        <w:spacing w:before="120" w:after="20"/>
      </w:pPr>
      <w:r>
        <w:rPr>
          <w:rFonts w:ascii="Arial" w:hAnsi="Arial"/>
          <w:b/>
          <w:i w:val="0"/>
          <w:color w:val="1F4E79"/>
          <w:sz w:val="20"/>
        </w:rPr>
        <w:t>GROUNDLINK</w:t>
      </w:r>
      <w:r>
        <w:rPr>
          <w:rFonts w:ascii="Arial" w:hAnsi="Arial"/>
          <w:b/>
          <w:i w:val="0"/>
          <w:color w:val="000000"/>
          <w:sz w:val="18"/>
        </w:rPr>
        <w:t xml:space="preserve">  |  Director of Marketing | Senior Marketing Manager</w:t>
      </w:r>
    </w:p>
    <w:p>
      <w:pPr>
        <w:spacing w:before="0" w:after="40"/>
      </w:pPr>
      <w:r>
        <w:rPr>
          <w:rFonts w:ascii="Arial" w:hAnsi="Arial"/>
          <w:b w:val="0"/>
          <w:i/>
          <w:color w:val="444444"/>
          <w:sz w:val="16"/>
        </w:rPr>
        <w:t>New York, NY  |  2017 – 2020</w:t>
      </w:r>
    </w:p>
    <w:p>
      <w:pPr>
        <w:pStyle w:val="ListBullet"/>
        <w:spacing w:before="20" w:after="20"/>
        <w:ind w:left="360"/>
      </w:pPr>
      <w:r>
        <w:rPr>
          <w:rFonts w:ascii="Arial" w:hAnsi="Arial"/>
          <w:b w:val="0"/>
          <w:i w:val="0"/>
          <w:color w:val="000000"/>
          <w:sz w:val="18"/>
        </w:rPr>
        <w:t>Led marketing for four transportation brands across B2B, B2C, and B2B2C audiences — managing ~$500K in budget across paid media, content, email, CRM, partner channels, and lifecycle marketing.</w:t>
      </w:r>
    </w:p>
    <w:p>
      <w:pPr>
        <w:pStyle w:val="ListBullet"/>
        <w:spacing w:before="20" w:after="20"/>
        <w:ind w:left="360"/>
      </w:pPr>
      <w:r>
        <w:rPr>
          <w:rFonts w:ascii="Arial" w:hAnsi="Arial"/>
          <w:b w:val="0"/>
          <w:i w:val="0"/>
          <w:color w:val="000000"/>
          <w:sz w:val="18"/>
        </w:rPr>
        <w:t>Set up and integrated Adobe CJA, Adobe Analytics, Google Analytics, Google Ads, Salesforce, Eloqua, web, form capture, email journeys, and paid media tracking into a connected reporting environment.</w:t>
      </w:r>
    </w:p>
    <w:p>
      <w:pPr>
        <w:pStyle w:val="ListBullet"/>
        <w:spacing w:before="20" w:after="20"/>
        <w:ind w:left="360"/>
      </w:pPr>
      <w:r>
        <w:rPr>
          <w:rFonts w:ascii="Arial" w:hAnsi="Arial"/>
          <w:b w:val="0"/>
          <w:i w:val="0"/>
          <w:color w:val="000000"/>
          <w:sz w:val="18"/>
        </w:rPr>
        <w:t>Built hands-on performance models using CRM, lifecycle, partner, paid media, web, and conversion data — applying regression-based analysis, cohort review, and channel attribution to guide investment.</w:t>
      </w:r>
    </w:p>
    <w:p>
      <w:pPr>
        <w:pStyle w:val="ListBullet"/>
        <w:spacing w:before="20" w:after="20"/>
        <w:ind w:left="360"/>
      </w:pPr>
      <w:r>
        <w:rPr>
          <w:rFonts w:ascii="Arial" w:hAnsi="Arial"/>
          <w:b w:val="0"/>
          <w:i w:val="0"/>
          <w:color w:val="000000"/>
          <w:sz w:val="18"/>
        </w:rPr>
        <w:t>Built and managed partner, affiliate, and channel relationships across corporate travel management companies, agencies, B2B accounts, and consumer-adjacent partners.</w:t>
      </w:r>
    </w:p>
    <w:p>
      <w:pPr>
        <w:pStyle w:val="ListBullet"/>
        <w:spacing w:before="20" w:after="20"/>
        <w:ind w:left="360"/>
      </w:pPr>
      <w:r>
        <w:rPr>
          <w:rFonts w:ascii="Arial" w:hAnsi="Arial"/>
          <w:b w:val="0"/>
          <w:i w:val="0"/>
          <w:color w:val="000000"/>
          <w:sz w:val="18"/>
        </w:rPr>
        <w:t>Used analytics signals to reframe core messaging from 'calculate how early you need to leave' to 'add your flight info and we track it for you' — directly improving app adoption and consumer engagement.</w:t>
      </w:r>
    </w:p>
    <w:p>
      <w:pPr>
        <w:pStyle w:val="ListBullet"/>
        <w:spacing w:before="20" w:after="20"/>
        <w:ind w:left="360"/>
      </w:pPr>
      <w:r>
        <w:rPr>
          <w:rFonts w:ascii="Arial" w:hAnsi="Arial"/>
          <w:b w:val="0"/>
          <w:i w:val="0"/>
          <w:color w:val="000000"/>
          <w:sz w:val="18"/>
        </w:rPr>
        <w:t>Built a multi-brand B2B marketing engine that contributed to ~101% YoY revenue growth and ~535% inbound lead growth through connected B2B, B2C, and partner marketing.</w:t>
      </w:r>
    </w:p>
    <w:p>
      <w:pPr>
        <w:pStyle w:val="ListBullet"/>
        <w:spacing w:before="20" w:after="20"/>
        <w:ind w:left="360"/>
      </w:pPr>
      <w:r>
        <w:rPr>
          <w:rFonts w:ascii="Arial" w:hAnsi="Arial"/>
          <w:b w:val="0"/>
          <w:i w:val="0"/>
          <w:color w:val="000000"/>
          <w:sz w:val="18"/>
        </w:rPr>
        <w:t>Managed Salesforce and Eloqua workflows, lead capture, segmentation, email journeys, reporting, and sales handoff processes.</w:t>
      </w:r>
    </w:p>
    <w:p>
      <w:pPr>
        <w:pStyle w:val="ListBullet"/>
        <w:spacing w:before="20" w:after="20"/>
        <w:ind w:left="360"/>
      </w:pPr>
      <w:r>
        <w:rPr>
          <w:rFonts w:ascii="Arial" w:hAnsi="Arial"/>
          <w:b w:val="0"/>
          <w:i w:val="0"/>
          <w:color w:val="000000"/>
          <w:sz w:val="18"/>
        </w:rPr>
        <w:t>Partnered with engineering, sales, legal, compliance, and operations to support app launches, website growth, CRM systems, and operational communications.</w:t>
      </w:r>
    </w:p>
    <w:p>
      <w:pPr>
        <w:spacing w:before="120" w:after="20"/>
      </w:pPr>
      <w:r>
        <w:rPr>
          <w:rFonts w:ascii="Arial" w:hAnsi="Arial"/>
          <w:b/>
          <w:i w:val="0"/>
          <w:color w:val="1F4E79"/>
          <w:sz w:val="20"/>
        </w:rPr>
        <w:t>MEDIA VISION</w:t>
      </w:r>
      <w:r>
        <w:rPr>
          <w:rFonts w:ascii="Arial" w:hAnsi="Arial"/>
          <w:b/>
          <w:i w:val="0"/>
          <w:color w:val="000000"/>
          <w:sz w:val="18"/>
        </w:rPr>
        <w:t xml:space="preserve">  |  Marketing Manager</w:t>
      </w:r>
    </w:p>
    <w:p>
      <w:pPr>
        <w:spacing w:before="0" w:after="40"/>
      </w:pPr>
      <w:r>
        <w:rPr>
          <w:rFonts w:ascii="Arial" w:hAnsi="Arial"/>
          <w:b w:val="0"/>
          <w:i/>
          <w:color w:val="444444"/>
          <w:sz w:val="16"/>
        </w:rPr>
        <w:t>New York, NY  |  2016 – 2017</w:t>
      </w:r>
    </w:p>
    <w:p>
      <w:pPr>
        <w:pStyle w:val="ListBullet"/>
        <w:spacing w:before="20" w:after="20"/>
        <w:ind w:left="360"/>
      </w:pPr>
      <w:r>
        <w:rPr>
          <w:rFonts w:ascii="Arial" w:hAnsi="Arial"/>
          <w:b w:val="0"/>
          <w:i w:val="0"/>
          <w:color w:val="000000"/>
          <w:sz w:val="18"/>
        </w:rPr>
        <w:t>Built website and analytics measurement foundations from scratch for client accounts — implementing Google Analytics, Google Ads, channel tracking, goal configuration, and conversion reporting.</w:t>
      </w:r>
    </w:p>
    <w:p>
      <w:pPr>
        <w:pStyle w:val="ListBullet"/>
        <w:spacing w:before="20" w:after="20"/>
        <w:ind w:left="360"/>
      </w:pPr>
      <w:r>
        <w:rPr>
          <w:rFonts w:ascii="Arial" w:hAnsi="Arial"/>
          <w:b w:val="0"/>
          <w:i w:val="0"/>
          <w:color w:val="000000"/>
          <w:sz w:val="18"/>
        </w:rPr>
        <w:t>Built and interpreted dashboards using Google Data Studio/Looker Studio, Tableau, Power BI, and Adobe Analytics — connecting paid, owned, and earned signals to client reporting.</w:t>
      </w:r>
    </w:p>
    <w:p>
      <w:pPr>
        <w:pStyle w:val="ListBullet"/>
        <w:spacing w:before="20" w:after="20"/>
        <w:ind w:left="360"/>
      </w:pPr>
      <w:r>
        <w:rPr>
          <w:rFonts w:ascii="Arial" w:hAnsi="Arial"/>
          <w:b w:val="0"/>
          <w:i w:val="0"/>
          <w:color w:val="000000"/>
          <w:sz w:val="18"/>
        </w:rPr>
        <w:t>Managed digital marketing, content, SEO, paid media, reporting, and client communications for agency accounts across consumer, B2B, and nonprofit environments.</w:t>
      </w:r>
    </w:p>
    <w:p>
      <w:pPr>
        <w:pStyle w:val="ListBullet"/>
        <w:spacing w:before="20" w:after="20"/>
        <w:ind w:left="360"/>
      </w:pPr>
      <w:r>
        <w:rPr>
          <w:rFonts w:ascii="Arial" w:hAnsi="Arial"/>
          <w:b w:val="0"/>
          <w:i w:val="0"/>
          <w:color w:val="000000"/>
          <w:sz w:val="18"/>
        </w:rPr>
        <w:t>Integrated paid search, SEO, website behavior, landing page performance, form capture, and campaign reporting into analytics reporting views.</w:t>
      </w:r>
    </w:p>
    <w:p>
      <w:pPr>
        <w:spacing w:before="120" w:after="20"/>
      </w:pPr>
      <w:r>
        <w:rPr>
          <w:rFonts w:ascii="Arial" w:hAnsi="Arial"/>
          <w:b/>
          <w:i w:val="0"/>
          <w:color w:val="1F4E79"/>
          <w:sz w:val="20"/>
        </w:rPr>
        <w:t>FOURWINDS TOURS AND TRAVEL</w:t>
      </w:r>
      <w:r>
        <w:rPr>
          <w:rFonts w:ascii="Arial" w:hAnsi="Arial"/>
          <w:b/>
          <w:i w:val="0"/>
          <w:color w:val="000000"/>
          <w:sz w:val="18"/>
        </w:rPr>
        <w:t xml:space="preserve">  |  Marketing Executive</w:t>
      </w:r>
    </w:p>
    <w:p>
      <w:pPr>
        <w:spacing w:before="0" w:after="40"/>
      </w:pPr>
      <w:r>
        <w:rPr>
          <w:rFonts w:ascii="Arial" w:hAnsi="Arial"/>
          <w:b w:val="0"/>
          <w:i/>
          <w:color w:val="444444"/>
          <w:sz w:val="16"/>
        </w:rPr>
        <w:t>New York, NY  |  2014 – 2016</w:t>
      </w:r>
    </w:p>
    <w:p>
      <w:pPr>
        <w:pStyle w:val="ListBullet"/>
        <w:spacing w:before="20" w:after="20"/>
        <w:ind w:left="360"/>
      </w:pPr>
      <w:r>
        <w:rPr>
          <w:rFonts w:ascii="Arial" w:hAnsi="Arial"/>
          <w:b w:val="0"/>
          <w:i w:val="0"/>
          <w:color w:val="000000"/>
          <w:sz w:val="18"/>
        </w:rPr>
        <w:t>Supported marketing, communications, content, travel promotions, customer engagement, and partner coordination for a travel organization serving both consumer and corporate audiences.</w:t>
      </w:r>
    </w:p>
    <w:p>
      <w:pPr>
        <w:pStyle w:val="ListBullet"/>
        <w:spacing w:before="20" w:after="20"/>
        <w:ind w:left="360"/>
      </w:pPr>
      <w:r>
        <w:rPr>
          <w:rFonts w:ascii="Arial" w:hAnsi="Arial"/>
          <w:b w:val="0"/>
          <w:i w:val="0"/>
          <w:color w:val="000000"/>
          <w:sz w:val="18"/>
        </w:rPr>
        <w:t>Developed audience-facing content, email communications, and campaign support across travel products and customer segments.</w:t>
      </w:r>
    </w:p>
    <w:p>
      <w:pPr>
        <w:pStyle w:val="ListBullet"/>
        <w:spacing w:before="20" w:after="20"/>
        <w:ind w:left="360"/>
      </w:pPr>
      <w:r>
        <w:rPr>
          <w:rFonts w:ascii="Arial" w:hAnsi="Arial"/>
          <w:b w:val="0"/>
          <w:i w:val="0"/>
          <w:color w:val="000000"/>
          <w:sz w:val="18"/>
        </w:rPr>
        <w:t>Managed partner relationships and co-marketing coordination across travel suppliers, hospitality partners, and corporate accounts.</w:t>
      </w:r>
    </w:p>
    <w:p>
      <w:pPr>
        <w:spacing w:before="120" w:after="20"/>
      </w:pPr>
      <w:r>
        <w:rPr>
          <w:rFonts w:ascii="Arial" w:hAnsi="Arial"/>
          <w:b/>
          <w:i w:val="0"/>
          <w:color w:val="1F4E79"/>
          <w:sz w:val="20"/>
        </w:rPr>
        <w:t>C SPIRE</w:t>
      </w:r>
      <w:r>
        <w:rPr>
          <w:rFonts w:ascii="Arial" w:hAnsi="Arial"/>
          <w:b/>
          <w:i w:val="0"/>
          <w:color w:val="000000"/>
          <w:sz w:val="18"/>
        </w:rPr>
        <w:t xml:space="preserve">  |  Public Relations Specialist and Brand Ambassador</w:t>
      </w:r>
    </w:p>
    <w:p>
      <w:pPr>
        <w:spacing w:before="0" w:after="40"/>
      </w:pPr>
      <w:r>
        <w:rPr>
          <w:rFonts w:ascii="Arial" w:hAnsi="Arial"/>
          <w:b w:val="0"/>
          <w:i/>
          <w:color w:val="444444"/>
          <w:sz w:val="16"/>
        </w:rPr>
        <w:t>Mississippi  |  2011 – 2014</w:t>
      </w:r>
    </w:p>
    <w:p>
      <w:pPr>
        <w:pStyle w:val="ListBullet"/>
        <w:spacing w:before="20" w:after="20"/>
        <w:ind w:left="360"/>
      </w:pPr>
      <w:r>
        <w:rPr>
          <w:rFonts w:ascii="Arial" w:hAnsi="Arial"/>
          <w:b w:val="0"/>
          <w:i w:val="0"/>
          <w:color w:val="000000"/>
          <w:sz w:val="18"/>
        </w:rPr>
        <w:t>Served as brand ambassador and community partner across the state of Mississippi — building and activating relationships with chambers of commerce, sports organizations, colleges, universities, schools, government entities, radio stations, local news stations, associations, community organizations, and business networks to extend C Spire's brand presence and deepen consumer and institutional connections.</w:t>
      </w:r>
    </w:p>
    <w:p>
      <w:pPr>
        <w:pStyle w:val="ListBullet"/>
        <w:spacing w:before="20" w:after="20"/>
        <w:ind w:left="360"/>
      </w:pPr>
      <w:r>
        <w:rPr>
          <w:rFonts w:ascii="Arial" w:hAnsi="Arial"/>
          <w:b w:val="0"/>
          <w:i w:val="0"/>
          <w:color w:val="000000"/>
          <w:sz w:val="18"/>
        </w:rPr>
        <w:t>Revitalized a stalled college loyalty program at Ole Miss by redesigning visibility, positioning, and on-campus activation — culminating in a stadium car giveaway during a live sporting event that drove program adoption and renewed multi-year commitment; direct sports sponsorship strategy and live activation experience.</w:t>
      </w:r>
    </w:p>
    <w:p>
      <w:pPr>
        <w:pStyle w:val="ListBullet"/>
        <w:spacing w:before="20" w:after="20"/>
        <w:ind w:left="360"/>
      </w:pPr>
      <w:r>
        <w:rPr>
          <w:rFonts w:ascii="Arial" w:hAnsi="Arial"/>
          <w:b w:val="0"/>
          <w:i w:val="0"/>
          <w:color w:val="000000"/>
          <w:sz w:val="18"/>
        </w:rPr>
        <w:t>Supported B2C consumer marketing and retail initiatives across a network of 60+ C Spire stores — helping develop local campaigns, community partnerships, in-store promotions, and consumer-facing programs that connected retail presence to broader brand strategy.</w:t>
      </w:r>
    </w:p>
    <w:p>
      <w:pPr>
        <w:pStyle w:val="ListBullet"/>
        <w:spacing w:before="20" w:after="20"/>
        <w:ind w:left="360"/>
      </w:pPr>
      <w:r>
        <w:rPr>
          <w:rFonts w:ascii="Arial" w:hAnsi="Arial"/>
          <w:b w:val="0"/>
          <w:i w:val="0"/>
          <w:color w:val="000000"/>
          <w:sz w:val="18"/>
        </w:rPr>
        <w:t>Supported B2B sales and relationship development — partnering with business customers, enterprise accounts, and institutional buyers on telecommunications solutions, account management, and co-marketing opportunities.</w:t>
      </w:r>
    </w:p>
    <w:p>
      <w:pPr>
        <w:pStyle w:val="ListBullet"/>
        <w:spacing w:before="20" w:after="20"/>
        <w:ind w:left="360"/>
      </w:pPr>
      <w:r>
        <w:rPr>
          <w:rFonts w:ascii="Arial" w:hAnsi="Arial"/>
          <w:b w:val="0"/>
          <w:i w:val="0"/>
          <w:color w:val="000000"/>
          <w:sz w:val="18"/>
        </w:rPr>
        <w:t>Supported B2G (business-to-government) relationships — engaging with government entities, public institutions, and civic organizations across Mississippi on communications infrastructure, community partnership, and public-sector account development.</w:t>
      </w:r>
    </w:p>
    <w:p>
      <w:pPr>
        <w:pStyle w:val="ListBullet"/>
        <w:spacing w:before="20" w:after="20"/>
        <w:ind w:left="360"/>
      </w:pPr>
      <w:r>
        <w:rPr>
          <w:rFonts w:ascii="Arial" w:hAnsi="Arial"/>
          <w:b w:val="0"/>
          <w:i w:val="0"/>
          <w:color w:val="000000"/>
          <w:sz w:val="18"/>
        </w:rPr>
        <w:t>Supported C Spire's fiber-to-the-home initiative — helping communicate the value of residential fiber expansion to communities, local leaders, and media partners across Mississippi through PR, local outreach, community events, and grassroots engagement.</w:t>
      </w:r>
    </w:p>
    <w:p>
      <w:pPr>
        <w:pStyle w:val="ListBullet"/>
        <w:spacing w:before="20" w:after="20"/>
        <w:ind w:left="360"/>
      </w:pPr>
      <w:r>
        <w:rPr>
          <w:rFonts w:ascii="Arial" w:hAnsi="Arial"/>
          <w:b w:val="0"/>
          <w:i w:val="0"/>
          <w:color w:val="000000"/>
          <w:sz w:val="18"/>
        </w:rPr>
        <w:t>Managed public relations, earned media, and brand communications — building relationships with local news stations, radio partners, and media outlets to generate coverage for C Spire activations, sponsorships, and community programs.</w:t>
      </w:r>
    </w:p>
    <w:p>
      <w:pPr>
        <w:pStyle w:val="ListBullet"/>
        <w:spacing w:before="20" w:after="20"/>
        <w:ind w:left="360"/>
      </w:pPr>
      <w:r>
        <w:rPr>
          <w:rFonts w:ascii="Arial" w:hAnsi="Arial"/>
          <w:b w:val="0"/>
          <w:i w:val="0"/>
          <w:color w:val="000000"/>
          <w:sz w:val="18"/>
        </w:rPr>
        <w:t>Executed live experiential and event activations — managing on-the-ground presence at sporting events, community festivals, college campuses, and institutional gatherings, creating live brand moments that connected C Spire to the communities and occasions Mississippi consumers cared about most.</w:t>
      </w:r>
    </w:p>
    <w:p>
      <w:pPr>
        <w:spacing w:before="120" w:after="20"/>
      </w:pPr>
      <w:r>
        <w:rPr>
          <w:rFonts w:ascii="Arial" w:hAnsi="Arial"/>
          <w:b/>
          <w:i w:val="0"/>
          <w:color w:val="1F4E79"/>
          <w:sz w:val="20"/>
        </w:rPr>
        <w:t>UNIVERSITY OF MISSISSIPPI</w:t>
      </w:r>
      <w:r>
        <w:rPr>
          <w:rFonts w:ascii="Arial" w:hAnsi="Arial"/>
          <w:b/>
          <w:i w:val="0"/>
          <w:color w:val="000000"/>
          <w:sz w:val="18"/>
        </w:rPr>
        <w:t xml:space="preserve">  |  Early Career Experience</w:t>
      </w:r>
    </w:p>
    <w:p>
      <w:pPr>
        <w:spacing w:before="0" w:after="40"/>
      </w:pPr>
      <w:r>
        <w:rPr>
          <w:rFonts w:ascii="Arial" w:hAnsi="Arial"/>
          <w:b w:val="0"/>
          <w:i/>
          <w:color w:val="444444"/>
          <w:sz w:val="16"/>
        </w:rPr>
        <w:t>Mississippi  |  2010 – 2011</w:t>
      </w:r>
    </w:p>
    <w:p>
      <w:pPr>
        <w:pStyle w:val="ListBullet"/>
        <w:spacing w:before="20" w:after="20"/>
        <w:ind w:left="360"/>
      </w:pPr>
      <w:r>
        <w:rPr>
          <w:rFonts w:ascii="Arial" w:hAnsi="Arial"/>
          <w:b w:val="0"/>
          <w:i w:val="0"/>
          <w:color w:val="000000"/>
          <w:sz w:val="18"/>
        </w:rPr>
        <w:t>Supported campus, communications, research, administrative, and stakeholder-facing work while building early experience across writing, analysis, and cross-functional collaboration.</w:t>
      </w:r>
    </w:p>
    <w:p>
      <w:pPr>
        <w:pBdr>
          <w:bottom w:val="single" w:sz="4" w:space="1" w:color="1F4E79"/>
        </w:pBdr>
        <w:spacing w:before="160" w:after="40"/>
      </w:pPr>
      <w:r>
        <w:rPr>
          <w:rFonts w:ascii="Arial" w:hAnsi="Arial"/>
          <w:b/>
          <w:i w:val="0"/>
          <w:color w:val="1F4E79"/>
          <w:sz w:val="20"/>
        </w:rPr>
        <w:t>STRATEGIC SYSTEMS</w:t>
      </w:r>
    </w:p>
    <w:p>
      <w:pPr>
        <w:spacing w:before="40" w:after="40"/>
      </w:pPr>
      <w:r>
        <w:rPr>
          <w:rFonts w:ascii="Arial" w:hAnsi="Arial"/>
          <w:b/>
          <w:i w:val="0"/>
          <w:color w:val="000000"/>
          <w:sz w:val="18"/>
        </w:rPr>
        <w:t xml:space="preserve">Pain to Pipeline  |  AI-Integrated GTM Planning and Reporting System  —  </w:t>
      </w:r>
      <w:r>
        <w:rPr>
          <w:rFonts w:ascii="Arial" w:hAnsi="Arial"/>
          <w:b w:val="0"/>
          <w:i w:val="0"/>
          <w:color w:val="000000"/>
          <w:sz w:val="18"/>
        </w:rPr>
        <w:t>Built an AI-integrated planning system that turns audience pain, customer need, offer, budget, channel, account signals, campaign logic, and funnel performance data into connected growth decisions. Connects content, creative, channel, stage, landing page, ABM, nurture, and funnel performance so teams can see where pipeline is moving and where it is stalling. Built reporting logic around impressions, clicks, leads, MQLs, SQOs, pipeline, closed revenue, velocity, CAC, LTV, qualified downloads, and engagement metrics.</w:t>
      </w:r>
    </w:p>
    <w:p>
      <w:pPr>
        <w:pBdr>
          <w:bottom w:val="single" w:sz="4" w:space="1" w:color="1F4E79"/>
        </w:pBdr>
        <w:spacing w:before="160" w:after="40"/>
      </w:pPr>
      <w:r>
        <w:rPr>
          <w:rFonts w:ascii="Arial" w:hAnsi="Arial"/>
          <w:b/>
          <w:i w:val="0"/>
          <w:color w:val="1F4E79"/>
          <w:sz w:val="20"/>
        </w:rPr>
        <w:t>ADDITIONAL LEADERSHIP</w:t>
      </w:r>
    </w:p>
    <w:p>
      <w:pPr>
        <w:spacing w:before="20" w:after="20"/>
      </w:pPr>
      <w:r>
        <w:rPr>
          <w:rFonts w:ascii="Arial" w:hAnsi="Arial"/>
          <w:b/>
          <w:i w:val="0"/>
          <w:color w:val="000000"/>
          <w:sz w:val="18"/>
        </w:rPr>
        <w:t xml:space="preserve">Murray Hill Neighborhood Association  |  Board Trustee and Chair, Business Committee  |  New York, NY  —  </w:t>
      </w:r>
      <w:r>
        <w:rPr>
          <w:rFonts w:ascii="Arial" w:hAnsi="Arial"/>
          <w:b w:val="0"/>
          <w:i w:val="0"/>
          <w:color w:val="000000"/>
          <w:sz w:val="18"/>
        </w:rPr>
        <w:t>Support neighborhood, business, community, and stakeholder initiatives through board participation, committee leadership, and business development. Help translate community and business needs into practical initiatives, sponsorship ideas, outreach, and relationship-building programs.</w:t>
      </w:r>
    </w:p>
    <w:p>
      <w:pPr>
        <w:pBdr>
          <w:bottom w:val="single" w:sz="4" w:space="1" w:color="1F4E79"/>
        </w:pBdr>
        <w:spacing w:before="160" w:after="40"/>
      </w:pPr>
      <w:r>
        <w:rPr>
          <w:rFonts w:ascii="Arial" w:hAnsi="Arial"/>
          <w:b/>
          <w:i w:val="0"/>
          <w:color w:val="1F4E79"/>
          <w:sz w:val="20"/>
        </w:rPr>
        <w:t>THOUGHT LEADERSHIP AND INDUSTRY CONTRIBUTION</w:t>
      </w:r>
    </w:p>
    <w:p>
      <w:pPr>
        <w:spacing w:before="40" w:after="40"/>
      </w:pPr>
      <w:r>
        <w:rPr>
          <w:rFonts w:ascii="Arial" w:hAnsi="Arial"/>
          <w:b w:val="0"/>
          <w:i w:val="0"/>
          <w:color w:val="000000"/>
          <w:sz w:val="18"/>
        </w:rPr>
        <w:t>Write and publish on GTM systems, marketing clarity, community impact, AI workflows, leadership, market response, positioning, analytics, and measurement. Explore how unstructured signals across content, creative, partnerships, sponsorships, CJA, web analytics, channel integration, and audience behavior can be connected to practical growth decisions and commercial outcomes.</w:t>
      </w:r>
    </w:p>
    <w:p>
      <w:pPr>
        <w:pBdr>
          <w:bottom w:val="single" w:sz="4" w:space="1" w:color="1F4E79"/>
        </w:pBdr>
        <w:spacing w:before="160" w:after="40"/>
      </w:pPr>
      <w:r>
        <w:rPr>
          <w:rFonts w:ascii="Arial" w:hAnsi="Arial"/>
          <w:b/>
          <w:i w:val="0"/>
          <w:color w:val="1F4E79"/>
          <w:sz w:val="20"/>
        </w:rPr>
        <w:t>CERTIFICATIONS</w:t>
      </w:r>
    </w:p>
    <w:p>
      <w:pPr>
        <w:spacing w:before="40" w:after="40"/>
      </w:pPr>
      <w:r>
        <w:rPr>
          <w:rFonts w:ascii="Arial" w:hAnsi="Arial"/>
          <w:b w:val="0"/>
          <w:i w:val="0"/>
          <w:color w:val="000000"/>
          <w:sz w:val="18"/>
        </w:rPr>
        <w:t>Demandbase Advanced ABM Certification  |  Demandbase ABX Certification  |  AI Product Strategy Badge, Next Gen PM  |  AI Agent Build Badge, Next Gen PM  |  Computer Vision Model Build Badge, Next Gen PM  |  CustomGPT Build Badge, Next Gen PM  |  Artificial Intelligence in Marketing, UVA Darden  |  Google Analytics Certification  |  LinkedIn Marketing Solutions Fundamentals</w:t>
      </w:r>
    </w:p>
    <w:p>
      <w:pPr>
        <w:pBdr>
          <w:bottom w:val="single" w:sz="4" w:space="1" w:color="1F4E79"/>
        </w:pBdr>
        <w:spacing w:before="160" w:after="40"/>
      </w:pPr>
      <w:r>
        <w:rPr>
          <w:rFonts w:ascii="Arial" w:hAnsi="Arial"/>
          <w:b/>
          <w:i w:val="0"/>
          <w:color w:val="1F4E79"/>
          <w:sz w:val="20"/>
        </w:rPr>
        <w:t>EDUCATION</w:t>
      </w:r>
    </w:p>
    <w:p>
      <w:pPr>
        <w:spacing w:before="40" w:after="40"/>
      </w:pPr>
      <w:r>
        <w:rPr>
          <w:rFonts w:ascii="Arial" w:hAnsi="Arial"/>
          <w:b w:val="0"/>
          <w:i w:val="0"/>
          <w:color w:val="000000"/>
          <w:sz w:val="18"/>
        </w:rPr>
        <w:t>University of Mississippi  |  Bachelor of Science in Biology  |  Minors in Chemistry and Mathematics  |  2010</w:t>
      </w:r>
    </w:p>
    <w:sectPr w:rsidR="00FC693F" w:rsidRPr="0006063C" w:rsidSect="00034616">
      <w:pgSz w:w="12240" w:h="15840"/>
      <w:pgMar w:top="720" w:right="1008" w:bottom="720"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0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